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AB368" w14:textId="3EA31A53" w:rsidR="00CE2E4B" w:rsidRPr="005819CD" w:rsidRDefault="00CE2E4B" w:rsidP="00CE2E4B">
      <w:pPr>
        <w:jc w:val="center"/>
        <w:rPr>
          <w:rFonts w:ascii="Times New Roman" w:hAnsi="Times New Roman" w:cs="Times New Roman"/>
          <w:b/>
          <w:bCs/>
          <w:sz w:val="20"/>
          <w:szCs w:val="20"/>
        </w:rPr>
      </w:pPr>
      <w:proofErr w:type="spellStart"/>
      <w:r w:rsidRPr="005819CD">
        <w:rPr>
          <w:rFonts w:ascii="Times New Roman" w:hAnsi="Times New Roman" w:cs="Times New Roman"/>
          <w:b/>
          <w:bCs/>
          <w:sz w:val="20"/>
          <w:szCs w:val="20"/>
        </w:rPr>
        <w:t>Periocidad</w:t>
      </w:r>
      <w:proofErr w:type="spellEnd"/>
      <w:r w:rsidRPr="005819CD">
        <w:rPr>
          <w:rFonts w:ascii="Times New Roman" w:hAnsi="Times New Roman" w:cs="Times New Roman"/>
          <w:b/>
          <w:bCs/>
          <w:sz w:val="20"/>
          <w:szCs w:val="20"/>
        </w:rPr>
        <w:t xml:space="preserve"> trimestral</w:t>
      </w:r>
      <w:r>
        <w:rPr>
          <w:rFonts w:ascii="Times New Roman" w:hAnsi="Times New Roman" w:cs="Times New Roman"/>
          <w:b/>
          <w:bCs/>
          <w:sz w:val="20"/>
          <w:szCs w:val="20"/>
        </w:rPr>
        <w:t xml:space="preserve"> </w:t>
      </w:r>
      <w:r>
        <w:rPr>
          <w:rFonts w:ascii="Times New Roman" w:hAnsi="Times New Roman" w:cs="Times New Roman"/>
          <w:b/>
          <w:bCs/>
          <w:sz w:val="20"/>
          <w:szCs w:val="20"/>
        </w:rPr>
        <w:t>Julio-</w:t>
      </w:r>
      <w:proofErr w:type="gramStart"/>
      <w:r>
        <w:rPr>
          <w:rFonts w:ascii="Times New Roman" w:hAnsi="Times New Roman" w:cs="Times New Roman"/>
          <w:b/>
          <w:bCs/>
          <w:sz w:val="20"/>
          <w:szCs w:val="20"/>
        </w:rPr>
        <w:t>Septiembre</w:t>
      </w:r>
      <w:proofErr w:type="gramEnd"/>
      <w:r w:rsidRPr="005819CD">
        <w:rPr>
          <w:rFonts w:ascii="Times New Roman" w:hAnsi="Times New Roman" w:cs="Times New Roman"/>
          <w:b/>
          <w:bCs/>
          <w:sz w:val="20"/>
          <w:szCs w:val="20"/>
        </w:rPr>
        <w:t xml:space="preserve">, Volumen </w:t>
      </w:r>
      <w:r>
        <w:rPr>
          <w:rFonts w:ascii="Times New Roman" w:hAnsi="Times New Roman" w:cs="Times New Roman"/>
          <w:b/>
          <w:bCs/>
          <w:sz w:val="20"/>
          <w:szCs w:val="20"/>
        </w:rPr>
        <w:t>4</w:t>
      </w:r>
      <w:r w:rsidRPr="005819CD">
        <w:rPr>
          <w:rFonts w:ascii="Times New Roman" w:hAnsi="Times New Roman" w:cs="Times New Roman"/>
          <w:b/>
          <w:bCs/>
          <w:sz w:val="20"/>
          <w:szCs w:val="20"/>
        </w:rPr>
        <w:t xml:space="preserve">, Numero </w:t>
      </w:r>
      <w:r>
        <w:rPr>
          <w:rFonts w:ascii="Times New Roman" w:hAnsi="Times New Roman" w:cs="Times New Roman"/>
          <w:b/>
          <w:bCs/>
          <w:sz w:val="20"/>
          <w:szCs w:val="20"/>
        </w:rPr>
        <w:t>3</w:t>
      </w:r>
      <w:r w:rsidRPr="005819CD">
        <w:rPr>
          <w:rFonts w:ascii="Times New Roman" w:hAnsi="Times New Roman" w:cs="Times New Roman"/>
          <w:b/>
          <w:bCs/>
          <w:sz w:val="20"/>
          <w:szCs w:val="20"/>
        </w:rPr>
        <w:t>, Años (202</w:t>
      </w:r>
      <w:r>
        <w:rPr>
          <w:rFonts w:ascii="Times New Roman" w:hAnsi="Times New Roman" w:cs="Times New Roman"/>
          <w:b/>
          <w:bCs/>
          <w:sz w:val="20"/>
          <w:szCs w:val="20"/>
        </w:rPr>
        <w:t>5</w:t>
      </w:r>
      <w:r w:rsidRPr="005819CD">
        <w:rPr>
          <w:rFonts w:ascii="Times New Roman" w:hAnsi="Times New Roman" w:cs="Times New Roman"/>
          <w:b/>
          <w:bCs/>
          <w:sz w:val="20"/>
          <w:szCs w:val="20"/>
        </w:rPr>
        <w:t xml:space="preserve">), Pág. </w:t>
      </w:r>
      <w:r>
        <w:rPr>
          <w:rFonts w:ascii="Times New Roman" w:hAnsi="Times New Roman" w:cs="Times New Roman"/>
          <w:b/>
          <w:bCs/>
          <w:sz w:val="20"/>
          <w:szCs w:val="20"/>
        </w:rPr>
        <w:t>1</w:t>
      </w:r>
      <w:r>
        <w:rPr>
          <w:rFonts w:ascii="Times New Roman" w:hAnsi="Times New Roman" w:cs="Times New Roman"/>
          <w:b/>
          <w:bCs/>
          <w:sz w:val="20"/>
          <w:szCs w:val="20"/>
        </w:rPr>
        <w:t>-15</w:t>
      </w:r>
    </w:p>
    <w:p w14:paraId="3941A5C0" w14:textId="77777777" w:rsidR="00CE2E4B" w:rsidRPr="005819CD" w:rsidRDefault="00CE2E4B" w:rsidP="00CE2E4B">
      <w:pPr>
        <w:spacing w:after="0" w:line="240" w:lineRule="auto"/>
        <w:jc w:val="right"/>
        <w:rPr>
          <w:rFonts w:ascii="Times New Roman" w:eastAsia="Times New Roman" w:hAnsi="Times New Roman" w:cs="Times New Roman"/>
          <w:sz w:val="20"/>
          <w:szCs w:val="20"/>
        </w:rPr>
      </w:pPr>
    </w:p>
    <w:p w14:paraId="26809217" w14:textId="6266403F" w:rsidR="00CE2E4B" w:rsidRPr="005819CD" w:rsidRDefault="00CE2E4B" w:rsidP="00CE2E4B">
      <w:pPr>
        <w:spacing w:after="0" w:line="240" w:lineRule="auto"/>
        <w:jc w:val="right"/>
        <w:rPr>
          <w:rFonts w:ascii="Times New Roman" w:hAnsi="Times New Roman" w:cs="Times New Roman"/>
          <w:sz w:val="20"/>
          <w:szCs w:val="20"/>
        </w:rPr>
      </w:pPr>
      <w:r w:rsidRPr="005819CD">
        <w:rPr>
          <w:rFonts w:ascii="Times New Roman" w:eastAsia="Times New Roman" w:hAnsi="Times New Roman" w:cs="Times New Roman"/>
          <w:sz w:val="20"/>
          <w:szCs w:val="20"/>
        </w:rPr>
        <w:t>Fecha de recepción: 202</w:t>
      </w:r>
      <w:r>
        <w:rPr>
          <w:rFonts w:ascii="Times New Roman" w:eastAsia="Times New Roman" w:hAnsi="Times New Roman" w:cs="Times New Roman"/>
          <w:sz w:val="20"/>
          <w:szCs w:val="20"/>
        </w:rPr>
        <w:t>5</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r>
        <w:rPr>
          <w:rFonts w:ascii="Times New Roman" w:eastAsia="Times New Roman" w:hAnsi="Times New Roman" w:cs="Times New Roman"/>
          <w:sz w:val="20"/>
          <w:szCs w:val="20"/>
        </w:rPr>
        <w:t>5</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r>
        <w:rPr>
          <w:rFonts w:ascii="Times New Roman" w:eastAsia="Times New Roman" w:hAnsi="Times New Roman" w:cs="Times New Roman"/>
          <w:sz w:val="20"/>
          <w:szCs w:val="20"/>
        </w:rPr>
        <w:t>8</w:t>
      </w:r>
    </w:p>
    <w:p w14:paraId="2D713FF1" w14:textId="77777777" w:rsidR="00CE2E4B" w:rsidRPr="005819CD" w:rsidRDefault="00CE2E4B" w:rsidP="00CE2E4B">
      <w:pPr>
        <w:spacing w:after="0" w:line="240" w:lineRule="auto"/>
        <w:jc w:val="right"/>
        <w:rPr>
          <w:rFonts w:ascii="Times New Roman" w:hAnsi="Times New Roman" w:cs="Times New Roman"/>
          <w:sz w:val="20"/>
          <w:szCs w:val="20"/>
        </w:rPr>
      </w:pPr>
    </w:p>
    <w:p w14:paraId="6CAED43E" w14:textId="77258CD6" w:rsidR="00CE2E4B" w:rsidRPr="005819CD" w:rsidRDefault="00CE2E4B" w:rsidP="00CE2E4B">
      <w:pPr>
        <w:spacing w:after="0" w:line="240" w:lineRule="auto"/>
        <w:jc w:val="right"/>
        <w:rPr>
          <w:rFonts w:ascii="Times New Roman" w:hAnsi="Times New Roman" w:cs="Times New Roman"/>
          <w:sz w:val="20"/>
          <w:szCs w:val="20"/>
        </w:rPr>
      </w:pPr>
      <w:r w:rsidRPr="005819CD">
        <w:rPr>
          <w:rFonts w:ascii="Times New Roman" w:eastAsia="Times New Roman" w:hAnsi="Times New Roman" w:cs="Times New Roman"/>
          <w:sz w:val="20"/>
          <w:szCs w:val="20"/>
        </w:rPr>
        <w:t>Fecha de aceptación: 202</w:t>
      </w:r>
      <w:r>
        <w:rPr>
          <w:rFonts w:ascii="Times New Roman" w:eastAsia="Times New Roman" w:hAnsi="Times New Roman" w:cs="Times New Roman"/>
          <w:sz w:val="20"/>
          <w:szCs w:val="20"/>
        </w:rPr>
        <w:t>5</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r>
        <w:rPr>
          <w:rFonts w:ascii="Times New Roman" w:eastAsia="Times New Roman" w:hAnsi="Times New Roman" w:cs="Times New Roman"/>
          <w:sz w:val="20"/>
          <w:szCs w:val="20"/>
        </w:rPr>
        <w:t>6</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r>
        <w:rPr>
          <w:rFonts w:ascii="Times New Roman" w:eastAsia="Times New Roman" w:hAnsi="Times New Roman" w:cs="Times New Roman"/>
          <w:sz w:val="20"/>
          <w:szCs w:val="20"/>
        </w:rPr>
        <w:t>8</w:t>
      </w:r>
    </w:p>
    <w:p w14:paraId="0A114A9C" w14:textId="77777777" w:rsidR="00CE2E4B" w:rsidRPr="005819CD" w:rsidRDefault="00CE2E4B" w:rsidP="00CE2E4B">
      <w:pPr>
        <w:spacing w:after="0" w:line="240" w:lineRule="auto"/>
        <w:jc w:val="right"/>
        <w:rPr>
          <w:rFonts w:ascii="Times New Roman" w:hAnsi="Times New Roman" w:cs="Times New Roman"/>
          <w:sz w:val="20"/>
          <w:szCs w:val="20"/>
        </w:rPr>
      </w:pPr>
    </w:p>
    <w:p w14:paraId="5467EE5B" w14:textId="7F2CB11F" w:rsidR="00CE2E4B" w:rsidRDefault="00CE2E4B" w:rsidP="00CE2E4B">
      <w:pPr>
        <w:jc w:val="right"/>
        <w:rPr>
          <w:rFonts w:ascii="Times New Roman" w:hAnsi="Times New Roman" w:cs="Times New Roman"/>
          <w:b/>
          <w:sz w:val="24"/>
          <w:szCs w:val="24"/>
        </w:rPr>
      </w:pPr>
      <w:r w:rsidRPr="005819CD">
        <w:rPr>
          <w:rFonts w:ascii="Times New Roman" w:eastAsia="Times New Roman" w:hAnsi="Times New Roman" w:cs="Times New Roman"/>
          <w:sz w:val="20"/>
          <w:szCs w:val="20"/>
        </w:rPr>
        <w:t>Fecha de publicación: 202</w:t>
      </w:r>
      <w:r>
        <w:rPr>
          <w:rFonts w:ascii="Times New Roman" w:eastAsia="Times New Roman" w:hAnsi="Times New Roman" w:cs="Times New Roman"/>
          <w:sz w:val="20"/>
          <w:szCs w:val="20"/>
        </w:rPr>
        <w:t>5</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r>
        <w:rPr>
          <w:rFonts w:ascii="Times New Roman" w:eastAsia="Times New Roman" w:hAnsi="Times New Roman" w:cs="Times New Roman"/>
          <w:sz w:val="20"/>
          <w:szCs w:val="20"/>
        </w:rPr>
        <w:t>7</w:t>
      </w:r>
      <w:r w:rsidRPr="005819CD">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r>
        <w:rPr>
          <w:rFonts w:ascii="Times New Roman" w:eastAsia="Times New Roman" w:hAnsi="Times New Roman" w:cs="Times New Roman"/>
          <w:sz w:val="20"/>
          <w:szCs w:val="20"/>
        </w:rPr>
        <w:t>8</w:t>
      </w:r>
    </w:p>
    <w:p w14:paraId="644CF5B3" w14:textId="77777777" w:rsidR="00CE2E4B" w:rsidRDefault="00CE2E4B" w:rsidP="00B7317C">
      <w:pPr>
        <w:jc w:val="center"/>
        <w:rPr>
          <w:rFonts w:ascii="Times New Roman" w:hAnsi="Times New Roman" w:cs="Times New Roman"/>
          <w:b/>
          <w:sz w:val="24"/>
          <w:szCs w:val="24"/>
        </w:rPr>
      </w:pPr>
    </w:p>
    <w:p w14:paraId="1BCB48BB" w14:textId="65BED061" w:rsidR="00000000" w:rsidRPr="00CE2E4B" w:rsidRDefault="00AD392F" w:rsidP="00B7317C">
      <w:pPr>
        <w:jc w:val="center"/>
        <w:rPr>
          <w:rFonts w:ascii="Times New Roman" w:hAnsi="Times New Roman" w:cs="Times New Roman"/>
          <w:b/>
          <w:sz w:val="28"/>
          <w:szCs w:val="28"/>
        </w:rPr>
      </w:pPr>
      <w:r w:rsidRPr="00CE2E4B">
        <w:rPr>
          <w:rFonts w:ascii="Times New Roman" w:hAnsi="Times New Roman" w:cs="Times New Roman"/>
          <w:b/>
          <w:sz w:val="28"/>
          <w:szCs w:val="28"/>
        </w:rPr>
        <w:t>Silvicultura de transformación y conversión de masas homogéneas en estructuras irregularizadas</w:t>
      </w:r>
    </w:p>
    <w:p w14:paraId="2F8B92B3" w14:textId="77777777" w:rsidR="00CE2E4B" w:rsidRDefault="00CE2E4B" w:rsidP="00B7317C">
      <w:pPr>
        <w:spacing w:before="100" w:beforeAutospacing="1" w:after="100" w:afterAutospacing="1" w:line="240" w:lineRule="auto"/>
        <w:jc w:val="both"/>
        <w:rPr>
          <w:rFonts w:ascii="Times New Roman" w:eastAsia="Times New Roman" w:hAnsi="Times New Roman" w:cs="Times New Roman"/>
          <w:b/>
          <w:bCs/>
          <w:sz w:val="24"/>
          <w:szCs w:val="24"/>
          <w:lang w:eastAsia="es-EC"/>
        </w:rPr>
      </w:pPr>
    </w:p>
    <w:p w14:paraId="29A492A4" w14:textId="4A8430A3" w:rsidR="00CE2E4B" w:rsidRDefault="00CE2E4B" w:rsidP="00CE2E4B">
      <w:pPr>
        <w:spacing w:before="100" w:beforeAutospacing="1" w:after="100" w:afterAutospacing="1" w:line="240" w:lineRule="auto"/>
        <w:jc w:val="center"/>
        <w:rPr>
          <w:rFonts w:ascii="Times New Roman" w:eastAsia="Times New Roman" w:hAnsi="Times New Roman" w:cs="Times New Roman"/>
          <w:b/>
          <w:bCs/>
          <w:sz w:val="24"/>
          <w:szCs w:val="24"/>
          <w:lang w:eastAsia="es-EC"/>
        </w:rPr>
      </w:pPr>
      <w:r w:rsidRPr="00CE2E4B">
        <w:rPr>
          <w:rFonts w:ascii="Times New Roman" w:eastAsia="Times New Roman" w:hAnsi="Times New Roman" w:cs="Times New Roman"/>
          <w:b/>
          <w:bCs/>
          <w:sz w:val="24"/>
          <w:szCs w:val="24"/>
          <w:lang w:eastAsia="es-EC"/>
        </w:rPr>
        <w:t>Byron Alexis</w:t>
      </w:r>
      <w:r>
        <w:rPr>
          <w:rFonts w:ascii="Times New Roman" w:eastAsia="Times New Roman" w:hAnsi="Times New Roman" w:cs="Times New Roman"/>
          <w:b/>
          <w:bCs/>
          <w:sz w:val="24"/>
          <w:szCs w:val="24"/>
          <w:lang w:eastAsia="es-EC"/>
        </w:rPr>
        <w:t xml:space="preserve"> </w:t>
      </w:r>
      <w:proofErr w:type="spellStart"/>
      <w:r w:rsidRPr="00CE2E4B">
        <w:rPr>
          <w:rFonts w:ascii="Times New Roman" w:eastAsia="Times New Roman" w:hAnsi="Times New Roman" w:cs="Times New Roman"/>
          <w:b/>
          <w:bCs/>
          <w:sz w:val="24"/>
          <w:szCs w:val="24"/>
          <w:lang w:eastAsia="es-EC"/>
        </w:rPr>
        <w:t>Fernandez</w:t>
      </w:r>
      <w:proofErr w:type="spellEnd"/>
      <w:r w:rsidRPr="00CE2E4B">
        <w:rPr>
          <w:rFonts w:ascii="Times New Roman" w:eastAsia="Times New Roman" w:hAnsi="Times New Roman" w:cs="Times New Roman"/>
          <w:b/>
          <w:bCs/>
          <w:sz w:val="24"/>
          <w:szCs w:val="24"/>
          <w:lang w:eastAsia="es-EC"/>
        </w:rPr>
        <w:t xml:space="preserve"> Espinoza</w:t>
      </w:r>
    </w:p>
    <w:p w14:paraId="4BA025E8" w14:textId="584E4F7E" w:rsidR="00CE2E4B" w:rsidRPr="00CE2E4B" w:rsidRDefault="00CE2E4B" w:rsidP="00CE2E4B">
      <w:pPr>
        <w:spacing w:before="100" w:beforeAutospacing="1" w:after="100" w:afterAutospacing="1" w:line="240" w:lineRule="auto"/>
        <w:jc w:val="center"/>
        <w:rPr>
          <w:rFonts w:ascii="Times New Roman" w:eastAsia="Times New Roman" w:hAnsi="Times New Roman" w:cs="Times New Roman"/>
          <w:sz w:val="24"/>
          <w:szCs w:val="24"/>
          <w:lang w:eastAsia="es-EC"/>
        </w:rPr>
      </w:pPr>
      <w:hyperlink r:id="rId6" w:history="1">
        <w:r w:rsidRPr="00CE2E4B">
          <w:rPr>
            <w:rStyle w:val="Hipervnculo"/>
            <w:rFonts w:ascii="Times New Roman" w:eastAsia="Times New Roman" w:hAnsi="Times New Roman" w:cs="Times New Roman"/>
            <w:sz w:val="24"/>
            <w:szCs w:val="24"/>
            <w:lang w:eastAsia="es-EC"/>
          </w:rPr>
          <w:t>byronfernandeze@gmail.com</w:t>
        </w:r>
      </w:hyperlink>
    </w:p>
    <w:p w14:paraId="2113CA04" w14:textId="7D4A998E" w:rsidR="00CE2E4B" w:rsidRPr="00CE2E4B" w:rsidRDefault="00CE2E4B" w:rsidP="00CE2E4B">
      <w:pPr>
        <w:spacing w:before="100" w:beforeAutospacing="1" w:after="100" w:afterAutospacing="1" w:line="240" w:lineRule="auto"/>
        <w:jc w:val="center"/>
        <w:rPr>
          <w:rFonts w:ascii="Times New Roman" w:eastAsia="Times New Roman" w:hAnsi="Times New Roman" w:cs="Times New Roman"/>
          <w:sz w:val="24"/>
          <w:szCs w:val="24"/>
          <w:lang w:eastAsia="es-EC"/>
        </w:rPr>
      </w:pPr>
      <w:hyperlink r:id="rId7" w:history="1">
        <w:r w:rsidRPr="00CE2E4B">
          <w:rPr>
            <w:rStyle w:val="Hipervnculo"/>
            <w:rFonts w:ascii="Times New Roman" w:eastAsia="Times New Roman" w:hAnsi="Times New Roman" w:cs="Times New Roman"/>
            <w:sz w:val="24"/>
            <w:szCs w:val="24"/>
            <w:lang w:eastAsia="es-EC"/>
          </w:rPr>
          <w:t>https://orcid.org/0000-0003-0959-2367</w:t>
        </w:r>
      </w:hyperlink>
    </w:p>
    <w:p w14:paraId="005379F0" w14:textId="06336118" w:rsidR="00CE2E4B" w:rsidRDefault="00CE2E4B" w:rsidP="00CE2E4B">
      <w:pPr>
        <w:spacing w:before="100" w:beforeAutospacing="1" w:after="100" w:afterAutospacing="1" w:line="240" w:lineRule="auto"/>
        <w:jc w:val="center"/>
        <w:rPr>
          <w:rFonts w:ascii="Times New Roman" w:eastAsia="Times New Roman" w:hAnsi="Times New Roman" w:cs="Times New Roman"/>
          <w:b/>
          <w:bCs/>
          <w:sz w:val="24"/>
          <w:szCs w:val="24"/>
          <w:lang w:eastAsia="es-EC"/>
        </w:rPr>
      </w:pPr>
      <w:r w:rsidRPr="00CE2E4B">
        <w:rPr>
          <w:rFonts w:ascii="Times New Roman" w:eastAsia="Times New Roman" w:hAnsi="Times New Roman" w:cs="Times New Roman"/>
          <w:b/>
          <w:bCs/>
          <w:sz w:val="24"/>
          <w:szCs w:val="24"/>
          <w:lang w:eastAsia="es-EC"/>
        </w:rPr>
        <w:t>Universidad Laica Eloy Alfaro de Manabí</w:t>
      </w:r>
    </w:p>
    <w:p w14:paraId="2F7F0A0C" w14:textId="052134E8" w:rsidR="00CE2E4B" w:rsidRDefault="00CE2E4B" w:rsidP="00CE2E4B">
      <w:pPr>
        <w:spacing w:before="100" w:beforeAutospacing="1" w:after="100" w:afterAutospacing="1" w:line="24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Manta – Ecuador</w:t>
      </w:r>
    </w:p>
    <w:p w14:paraId="0A56EFCC" w14:textId="77777777" w:rsidR="00CE2E4B" w:rsidRPr="00CE2E4B" w:rsidRDefault="00CE2E4B"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p>
    <w:p w14:paraId="30533707" w14:textId="1887B7D8" w:rsidR="00B7317C" w:rsidRPr="00B7317C" w:rsidRDefault="00B7317C"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b/>
          <w:bCs/>
          <w:sz w:val="24"/>
          <w:szCs w:val="24"/>
          <w:lang w:eastAsia="es-EC"/>
        </w:rPr>
        <w:t>Resumen</w:t>
      </w:r>
    </w:p>
    <w:p w14:paraId="0372E030" w14:textId="77777777" w:rsidR="00B7317C" w:rsidRPr="00B7317C" w:rsidRDefault="00B7317C"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sz w:val="24"/>
          <w:szCs w:val="24"/>
          <w:lang w:eastAsia="es-EC"/>
        </w:rPr>
        <w:t xml:space="preserve">En el contexto de la gestión forestal, la homogeneización de las masas forestales derivada de la expansión agropecuaria y del manejo coetáneo ha reducido la complejidad estructural y la resiliencia ecológica. El objetivo fue analizar la silvicultura de transformación como estrategia para convertir masas homogéneas en estructuras irregularizadas. Se adoptó un enfoque cuantitativo descriptivo y correlacional, basado en información secundaria de organismos oficiales y en el análisis de variables </w:t>
      </w:r>
      <w:proofErr w:type="spellStart"/>
      <w:r w:rsidRPr="00B7317C">
        <w:rPr>
          <w:rFonts w:ascii="Times New Roman" w:eastAsia="Times New Roman" w:hAnsi="Times New Roman" w:cs="Times New Roman"/>
          <w:sz w:val="24"/>
          <w:szCs w:val="24"/>
          <w:lang w:eastAsia="es-EC"/>
        </w:rPr>
        <w:t>dendrométricas</w:t>
      </w:r>
      <w:proofErr w:type="spellEnd"/>
      <w:r w:rsidRPr="00B7317C">
        <w:rPr>
          <w:rFonts w:ascii="Times New Roman" w:eastAsia="Times New Roman" w:hAnsi="Times New Roman" w:cs="Times New Roman"/>
          <w:sz w:val="24"/>
          <w:szCs w:val="24"/>
          <w:lang w:eastAsia="es-EC"/>
        </w:rPr>
        <w:t xml:space="preserve"> mediante correlación de Pearson, regresión lineal y análisis de varianza. Los resultados evidenciaron una alta relación entre la intensificación productiva y la expansión de superficies homogéneas, especialmente pastos cultivados, que alcanzan cerca del 45,6 % de la matriz agropecuaria. Asimismo, se identificó una reducción progresiva de la deforestación y un incremento de iniciativas de restauración, aunque persiste una presión territorial significativa. De manera relevante, la regeneración natural y la heterogeneidad estructural se consolidan como factores determinantes para la transición hacia configuraciones forestales más complejas. En consecuencia, la silvicultura de transformación se configura como una alternativa viable para mejorar la estabilidad ecológica y la funcionalidad del bosque, siempre que se sustente en planificación adaptativa y diagnósticos técnicos rigurosos.</w:t>
      </w:r>
    </w:p>
    <w:p w14:paraId="690F4057" w14:textId="77777777" w:rsidR="00B7317C" w:rsidRPr="00B7317C" w:rsidRDefault="00B7317C"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b/>
          <w:bCs/>
          <w:sz w:val="24"/>
          <w:szCs w:val="24"/>
          <w:lang w:eastAsia="es-EC"/>
        </w:rPr>
        <w:t>Palabras clave:</w:t>
      </w:r>
      <w:r w:rsidRPr="00B7317C">
        <w:rPr>
          <w:rFonts w:ascii="Times New Roman" w:eastAsia="Times New Roman" w:hAnsi="Times New Roman" w:cs="Times New Roman"/>
          <w:sz w:val="24"/>
          <w:szCs w:val="24"/>
          <w:lang w:eastAsia="es-EC"/>
        </w:rPr>
        <w:t xml:space="preserve"> Silvicultura de transformación, masas homogéneas, estructuras irregularizadas, regeneración natural, gestión forestal sostenible</w:t>
      </w:r>
    </w:p>
    <w:p w14:paraId="09243E92" w14:textId="77777777" w:rsidR="00B7317C" w:rsidRPr="00B7317C" w:rsidRDefault="00B7317C" w:rsidP="00B7317C">
      <w:pPr>
        <w:pStyle w:val="NormalWeb"/>
        <w:jc w:val="center"/>
      </w:pPr>
      <w:proofErr w:type="spellStart"/>
      <w:r w:rsidRPr="00B7317C">
        <w:rPr>
          <w:rStyle w:val="Textoennegrita"/>
        </w:rPr>
        <w:lastRenderedPageBreak/>
        <w:t>Transformation</w:t>
      </w:r>
      <w:proofErr w:type="spellEnd"/>
      <w:r w:rsidRPr="00B7317C">
        <w:rPr>
          <w:rStyle w:val="Textoennegrita"/>
        </w:rPr>
        <w:t xml:space="preserve"> </w:t>
      </w:r>
      <w:proofErr w:type="spellStart"/>
      <w:r w:rsidRPr="00B7317C">
        <w:rPr>
          <w:rStyle w:val="Textoennegrita"/>
        </w:rPr>
        <w:t>silviculture</w:t>
      </w:r>
      <w:proofErr w:type="spellEnd"/>
      <w:r w:rsidRPr="00B7317C">
        <w:rPr>
          <w:rStyle w:val="Textoennegrita"/>
        </w:rPr>
        <w:t xml:space="preserve"> and </w:t>
      </w:r>
      <w:proofErr w:type="spellStart"/>
      <w:r w:rsidRPr="00B7317C">
        <w:rPr>
          <w:rStyle w:val="Textoennegrita"/>
        </w:rPr>
        <w:t>conversion</w:t>
      </w:r>
      <w:proofErr w:type="spellEnd"/>
      <w:r w:rsidRPr="00B7317C">
        <w:rPr>
          <w:rStyle w:val="Textoennegrita"/>
        </w:rPr>
        <w:t xml:space="preserve"> </w:t>
      </w:r>
      <w:proofErr w:type="spellStart"/>
      <w:r w:rsidRPr="00B7317C">
        <w:rPr>
          <w:rStyle w:val="Textoennegrita"/>
        </w:rPr>
        <w:t>of</w:t>
      </w:r>
      <w:proofErr w:type="spellEnd"/>
      <w:r w:rsidRPr="00B7317C">
        <w:rPr>
          <w:rStyle w:val="Textoennegrita"/>
        </w:rPr>
        <w:t xml:space="preserve"> </w:t>
      </w:r>
      <w:proofErr w:type="spellStart"/>
      <w:r w:rsidRPr="00B7317C">
        <w:rPr>
          <w:rStyle w:val="Textoennegrita"/>
        </w:rPr>
        <w:t>homogeneous</w:t>
      </w:r>
      <w:proofErr w:type="spellEnd"/>
      <w:r w:rsidRPr="00B7317C">
        <w:rPr>
          <w:rStyle w:val="Textoennegrita"/>
        </w:rPr>
        <w:t xml:space="preserve"> stands </w:t>
      </w:r>
      <w:proofErr w:type="spellStart"/>
      <w:r w:rsidRPr="00B7317C">
        <w:rPr>
          <w:rStyle w:val="Textoennegrita"/>
        </w:rPr>
        <w:t>into</w:t>
      </w:r>
      <w:proofErr w:type="spellEnd"/>
      <w:r w:rsidRPr="00B7317C">
        <w:rPr>
          <w:rStyle w:val="Textoennegrita"/>
        </w:rPr>
        <w:t xml:space="preserve"> irregular </w:t>
      </w:r>
      <w:proofErr w:type="spellStart"/>
      <w:r w:rsidRPr="00B7317C">
        <w:rPr>
          <w:rStyle w:val="Textoennegrita"/>
        </w:rPr>
        <w:t>structures</w:t>
      </w:r>
      <w:proofErr w:type="spellEnd"/>
    </w:p>
    <w:p w14:paraId="4E812F45" w14:textId="77777777" w:rsidR="00B7317C" w:rsidRPr="00B7317C" w:rsidRDefault="00B7317C"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proofErr w:type="spellStart"/>
      <w:r w:rsidRPr="00B7317C">
        <w:rPr>
          <w:rFonts w:ascii="Times New Roman" w:eastAsia="Times New Roman" w:hAnsi="Times New Roman" w:cs="Times New Roman"/>
          <w:b/>
          <w:bCs/>
          <w:sz w:val="24"/>
          <w:szCs w:val="24"/>
          <w:lang w:eastAsia="es-EC"/>
        </w:rPr>
        <w:t>Abstract</w:t>
      </w:r>
      <w:proofErr w:type="spellEnd"/>
    </w:p>
    <w:p w14:paraId="4CFF47CD" w14:textId="77777777" w:rsidR="00B7317C" w:rsidRPr="00B7317C" w:rsidRDefault="00B7317C"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sz w:val="24"/>
          <w:szCs w:val="24"/>
          <w:lang w:eastAsia="es-EC"/>
        </w:rPr>
        <w:t xml:space="preserve">In </w:t>
      </w:r>
      <w:proofErr w:type="spellStart"/>
      <w:r w:rsidRPr="00B7317C">
        <w:rPr>
          <w:rFonts w:ascii="Times New Roman" w:eastAsia="Times New Roman" w:hAnsi="Times New Roman" w:cs="Times New Roman"/>
          <w:sz w:val="24"/>
          <w:szCs w:val="24"/>
          <w:lang w:eastAsia="es-EC"/>
        </w:rPr>
        <w:t>the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context</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of</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forest</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management</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the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homogenization</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of</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forest</w:t>
      </w:r>
      <w:proofErr w:type="spellEnd"/>
      <w:r w:rsidRPr="00B7317C">
        <w:rPr>
          <w:rFonts w:ascii="Times New Roman" w:eastAsia="Times New Roman" w:hAnsi="Times New Roman" w:cs="Times New Roman"/>
          <w:sz w:val="24"/>
          <w:szCs w:val="24"/>
          <w:lang w:eastAsia="es-EC"/>
        </w:rPr>
        <w:t xml:space="preserve"> stands </w:t>
      </w:r>
      <w:proofErr w:type="spellStart"/>
      <w:r w:rsidRPr="00B7317C">
        <w:rPr>
          <w:rFonts w:ascii="Times New Roman" w:eastAsia="Times New Roman" w:hAnsi="Times New Roman" w:cs="Times New Roman"/>
          <w:sz w:val="24"/>
          <w:szCs w:val="24"/>
          <w:lang w:eastAsia="es-EC"/>
        </w:rPr>
        <w:t>derived</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from</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agricultural</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expansion</w:t>
      </w:r>
      <w:proofErr w:type="spellEnd"/>
      <w:r w:rsidRPr="00B7317C">
        <w:rPr>
          <w:rFonts w:ascii="Times New Roman" w:eastAsia="Times New Roman" w:hAnsi="Times New Roman" w:cs="Times New Roman"/>
          <w:sz w:val="24"/>
          <w:szCs w:val="24"/>
          <w:lang w:eastAsia="es-EC"/>
        </w:rPr>
        <w:t xml:space="preserve"> and </w:t>
      </w:r>
      <w:proofErr w:type="spellStart"/>
      <w:r w:rsidRPr="00B7317C">
        <w:rPr>
          <w:rFonts w:ascii="Times New Roman" w:eastAsia="Times New Roman" w:hAnsi="Times New Roman" w:cs="Times New Roman"/>
          <w:sz w:val="24"/>
          <w:szCs w:val="24"/>
          <w:lang w:eastAsia="es-EC"/>
        </w:rPr>
        <w:t>even-aged</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management</w:t>
      </w:r>
      <w:proofErr w:type="spellEnd"/>
      <w:r w:rsidRPr="00B7317C">
        <w:rPr>
          <w:rFonts w:ascii="Times New Roman" w:eastAsia="Times New Roman" w:hAnsi="Times New Roman" w:cs="Times New Roman"/>
          <w:sz w:val="24"/>
          <w:szCs w:val="24"/>
          <w:lang w:eastAsia="es-EC"/>
        </w:rPr>
        <w:t xml:space="preserve"> has </w:t>
      </w:r>
      <w:proofErr w:type="spellStart"/>
      <w:r w:rsidRPr="00B7317C">
        <w:rPr>
          <w:rFonts w:ascii="Times New Roman" w:eastAsia="Times New Roman" w:hAnsi="Times New Roman" w:cs="Times New Roman"/>
          <w:sz w:val="24"/>
          <w:szCs w:val="24"/>
          <w:lang w:eastAsia="es-EC"/>
        </w:rPr>
        <w:t>reduced</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structural</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complexity</w:t>
      </w:r>
      <w:proofErr w:type="spellEnd"/>
      <w:r w:rsidRPr="00B7317C">
        <w:rPr>
          <w:rFonts w:ascii="Times New Roman" w:eastAsia="Times New Roman" w:hAnsi="Times New Roman" w:cs="Times New Roman"/>
          <w:sz w:val="24"/>
          <w:szCs w:val="24"/>
          <w:lang w:eastAsia="es-EC"/>
        </w:rPr>
        <w:t xml:space="preserve"> and </w:t>
      </w:r>
      <w:proofErr w:type="spellStart"/>
      <w:r w:rsidRPr="00B7317C">
        <w:rPr>
          <w:rFonts w:ascii="Times New Roman" w:eastAsia="Times New Roman" w:hAnsi="Times New Roman" w:cs="Times New Roman"/>
          <w:sz w:val="24"/>
          <w:szCs w:val="24"/>
          <w:lang w:eastAsia="es-EC"/>
        </w:rPr>
        <w:t>ecological</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resilience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The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objective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was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to</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analyze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transformation</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silviculture</w:t>
      </w:r>
      <w:proofErr w:type="spellEnd"/>
      <w:r w:rsidRPr="00B7317C">
        <w:rPr>
          <w:rFonts w:ascii="Times New Roman" w:eastAsia="Times New Roman" w:hAnsi="Times New Roman" w:cs="Times New Roman"/>
          <w:sz w:val="24"/>
          <w:szCs w:val="24"/>
          <w:lang w:eastAsia="es-EC"/>
        </w:rPr>
        <w:t xml:space="preserve"> as a </w:t>
      </w:r>
      <w:proofErr w:type="spellStart"/>
      <w:r w:rsidRPr="00B7317C">
        <w:rPr>
          <w:rFonts w:ascii="Times New Roman" w:eastAsia="Times New Roman" w:hAnsi="Times New Roman" w:cs="Times New Roman"/>
          <w:sz w:val="24"/>
          <w:szCs w:val="24"/>
          <w:lang w:eastAsia="es-EC"/>
        </w:rPr>
        <w:t>strategy</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to</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convert</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homogeneous</w:t>
      </w:r>
      <w:proofErr w:type="spellEnd"/>
      <w:r w:rsidRPr="00B7317C">
        <w:rPr>
          <w:rFonts w:ascii="Times New Roman" w:eastAsia="Times New Roman" w:hAnsi="Times New Roman" w:cs="Times New Roman"/>
          <w:sz w:val="24"/>
          <w:szCs w:val="24"/>
          <w:lang w:eastAsia="es-EC"/>
        </w:rPr>
        <w:t xml:space="preserve"> stands </w:t>
      </w:r>
      <w:proofErr w:type="spellStart"/>
      <w:r w:rsidRPr="00B7317C">
        <w:rPr>
          <w:rFonts w:ascii="Times New Roman" w:eastAsia="Times New Roman" w:hAnsi="Times New Roman" w:cs="Times New Roman"/>
          <w:sz w:val="24"/>
          <w:szCs w:val="24"/>
          <w:lang w:eastAsia="es-EC"/>
        </w:rPr>
        <w:t>into</w:t>
      </w:r>
      <w:proofErr w:type="spellEnd"/>
      <w:r w:rsidRPr="00B7317C">
        <w:rPr>
          <w:rFonts w:ascii="Times New Roman" w:eastAsia="Times New Roman" w:hAnsi="Times New Roman" w:cs="Times New Roman"/>
          <w:sz w:val="24"/>
          <w:szCs w:val="24"/>
          <w:lang w:eastAsia="es-EC"/>
        </w:rPr>
        <w:t xml:space="preserve"> irregular </w:t>
      </w:r>
      <w:proofErr w:type="spellStart"/>
      <w:r w:rsidRPr="00B7317C">
        <w:rPr>
          <w:rFonts w:ascii="Times New Roman" w:eastAsia="Times New Roman" w:hAnsi="Times New Roman" w:cs="Times New Roman"/>
          <w:sz w:val="24"/>
          <w:szCs w:val="24"/>
          <w:lang w:eastAsia="es-EC"/>
        </w:rPr>
        <w:t>structures</w:t>
      </w:r>
      <w:proofErr w:type="spellEnd"/>
      <w:r w:rsidRPr="00B7317C">
        <w:rPr>
          <w:rFonts w:ascii="Times New Roman" w:eastAsia="Times New Roman" w:hAnsi="Times New Roman" w:cs="Times New Roman"/>
          <w:sz w:val="24"/>
          <w:szCs w:val="24"/>
          <w:lang w:eastAsia="es-EC"/>
        </w:rPr>
        <w:t xml:space="preserve">. A </w:t>
      </w:r>
      <w:proofErr w:type="spellStart"/>
      <w:r w:rsidRPr="00B7317C">
        <w:rPr>
          <w:rFonts w:ascii="Times New Roman" w:eastAsia="Times New Roman" w:hAnsi="Times New Roman" w:cs="Times New Roman"/>
          <w:sz w:val="24"/>
          <w:szCs w:val="24"/>
          <w:lang w:eastAsia="es-EC"/>
        </w:rPr>
        <w:t>quantitative</w:t>
      </w:r>
      <w:proofErr w:type="spellEnd"/>
      <w:r w:rsidRPr="00B7317C">
        <w:rPr>
          <w:rFonts w:ascii="Times New Roman" w:eastAsia="Times New Roman" w:hAnsi="Times New Roman" w:cs="Times New Roman"/>
          <w:sz w:val="24"/>
          <w:szCs w:val="24"/>
          <w:lang w:eastAsia="es-EC"/>
        </w:rPr>
        <w:t xml:space="preserve"> descriptive and </w:t>
      </w:r>
      <w:proofErr w:type="spellStart"/>
      <w:r w:rsidRPr="00B7317C">
        <w:rPr>
          <w:rFonts w:ascii="Times New Roman" w:eastAsia="Times New Roman" w:hAnsi="Times New Roman" w:cs="Times New Roman"/>
          <w:sz w:val="24"/>
          <w:szCs w:val="24"/>
          <w:lang w:eastAsia="es-EC"/>
        </w:rPr>
        <w:t>correlational</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approach</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was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applied</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based</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on</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secondary</w:t>
      </w:r>
      <w:proofErr w:type="spellEnd"/>
      <w:r w:rsidRPr="00B7317C">
        <w:rPr>
          <w:rFonts w:ascii="Times New Roman" w:eastAsia="Times New Roman" w:hAnsi="Times New Roman" w:cs="Times New Roman"/>
          <w:sz w:val="24"/>
          <w:szCs w:val="24"/>
          <w:lang w:eastAsia="es-EC"/>
        </w:rPr>
        <w:t xml:space="preserve"> data </w:t>
      </w:r>
      <w:proofErr w:type="spellStart"/>
      <w:r w:rsidRPr="00B7317C">
        <w:rPr>
          <w:rFonts w:ascii="Times New Roman" w:eastAsia="Times New Roman" w:hAnsi="Times New Roman" w:cs="Times New Roman"/>
          <w:sz w:val="24"/>
          <w:szCs w:val="24"/>
          <w:lang w:eastAsia="es-EC"/>
        </w:rPr>
        <w:t>from</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official</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institutions</w:t>
      </w:r>
      <w:proofErr w:type="spellEnd"/>
      <w:r w:rsidRPr="00B7317C">
        <w:rPr>
          <w:rFonts w:ascii="Times New Roman" w:eastAsia="Times New Roman" w:hAnsi="Times New Roman" w:cs="Times New Roman"/>
          <w:sz w:val="24"/>
          <w:szCs w:val="24"/>
          <w:lang w:eastAsia="es-EC"/>
        </w:rPr>
        <w:t xml:space="preserve"> and </w:t>
      </w:r>
      <w:proofErr w:type="spellStart"/>
      <w:r w:rsidRPr="00B7317C">
        <w:rPr>
          <w:rFonts w:ascii="Times New Roman" w:eastAsia="Times New Roman" w:hAnsi="Times New Roman" w:cs="Times New Roman"/>
          <w:sz w:val="24"/>
          <w:szCs w:val="24"/>
          <w:lang w:eastAsia="es-EC"/>
        </w:rPr>
        <w:t>dendrometric</w:t>
      </w:r>
      <w:proofErr w:type="spellEnd"/>
      <w:r w:rsidRPr="00B7317C">
        <w:rPr>
          <w:rFonts w:ascii="Times New Roman" w:eastAsia="Times New Roman" w:hAnsi="Times New Roman" w:cs="Times New Roman"/>
          <w:sz w:val="24"/>
          <w:szCs w:val="24"/>
          <w:lang w:eastAsia="es-EC"/>
        </w:rPr>
        <w:t xml:space="preserve"> variables </w:t>
      </w:r>
      <w:proofErr w:type="spellStart"/>
      <w:r w:rsidRPr="00B7317C">
        <w:rPr>
          <w:rFonts w:ascii="Times New Roman" w:eastAsia="Times New Roman" w:hAnsi="Times New Roman" w:cs="Times New Roman"/>
          <w:sz w:val="24"/>
          <w:szCs w:val="24"/>
          <w:lang w:eastAsia="es-EC"/>
        </w:rPr>
        <w:t>analyzed</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through</w:t>
      </w:r>
      <w:proofErr w:type="spellEnd"/>
      <w:r w:rsidRPr="00B7317C">
        <w:rPr>
          <w:rFonts w:ascii="Times New Roman" w:eastAsia="Times New Roman" w:hAnsi="Times New Roman" w:cs="Times New Roman"/>
          <w:sz w:val="24"/>
          <w:szCs w:val="24"/>
          <w:lang w:eastAsia="es-EC"/>
        </w:rPr>
        <w:t xml:space="preserve"> Pearson </w:t>
      </w:r>
      <w:proofErr w:type="spellStart"/>
      <w:r w:rsidRPr="00B7317C">
        <w:rPr>
          <w:rFonts w:ascii="Times New Roman" w:eastAsia="Times New Roman" w:hAnsi="Times New Roman" w:cs="Times New Roman"/>
          <w:sz w:val="24"/>
          <w:szCs w:val="24"/>
          <w:lang w:eastAsia="es-EC"/>
        </w:rPr>
        <w:t>correlation</w:t>
      </w:r>
      <w:proofErr w:type="spellEnd"/>
      <w:r w:rsidRPr="00B7317C">
        <w:rPr>
          <w:rFonts w:ascii="Times New Roman" w:eastAsia="Times New Roman" w:hAnsi="Times New Roman" w:cs="Times New Roman"/>
          <w:sz w:val="24"/>
          <w:szCs w:val="24"/>
          <w:lang w:eastAsia="es-EC"/>
        </w:rPr>
        <w:t xml:space="preserve">, linear </w:t>
      </w:r>
      <w:proofErr w:type="spellStart"/>
      <w:r w:rsidRPr="00B7317C">
        <w:rPr>
          <w:rFonts w:ascii="Times New Roman" w:eastAsia="Times New Roman" w:hAnsi="Times New Roman" w:cs="Times New Roman"/>
          <w:sz w:val="24"/>
          <w:szCs w:val="24"/>
          <w:lang w:eastAsia="es-EC"/>
        </w:rPr>
        <w:t>regression</w:t>
      </w:r>
      <w:proofErr w:type="spellEnd"/>
      <w:r w:rsidRPr="00B7317C">
        <w:rPr>
          <w:rFonts w:ascii="Times New Roman" w:eastAsia="Times New Roman" w:hAnsi="Times New Roman" w:cs="Times New Roman"/>
          <w:sz w:val="24"/>
          <w:szCs w:val="24"/>
          <w:lang w:eastAsia="es-EC"/>
        </w:rPr>
        <w:t xml:space="preserve">, and </w:t>
      </w:r>
      <w:proofErr w:type="spellStart"/>
      <w:r w:rsidRPr="00B7317C">
        <w:rPr>
          <w:rFonts w:ascii="Times New Roman" w:eastAsia="Times New Roman" w:hAnsi="Times New Roman" w:cs="Times New Roman"/>
          <w:sz w:val="24"/>
          <w:szCs w:val="24"/>
          <w:lang w:eastAsia="es-EC"/>
        </w:rPr>
        <w:t>analysis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of</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variance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The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results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revealed</w:t>
      </w:r>
      <w:proofErr w:type="spellEnd"/>
      <w:r w:rsidRPr="00B7317C">
        <w:rPr>
          <w:rFonts w:ascii="Times New Roman" w:eastAsia="Times New Roman" w:hAnsi="Times New Roman" w:cs="Times New Roman"/>
          <w:sz w:val="24"/>
          <w:szCs w:val="24"/>
          <w:lang w:eastAsia="es-EC"/>
        </w:rPr>
        <w:t xml:space="preserve"> a </w:t>
      </w:r>
      <w:proofErr w:type="spellStart"/>
      <w:r w:rsidRPr="00B7317C">
        <w:rPr>
          <w:rFonts w:ascii="Times New Roman" w:eastAsia="Times New Roman" w:hAnsi="Times New Roman" w:cs="Times New Roman"/>
          <w:sz w:val="24"/>
          <w:szCs w:val="24"/>
          <w:lang w:eastAsia="es-EC"/>
        </w:rPr>
        <w:t>strong</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relationship</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between</w:t>
      </w:r>
      <w:proofErr w:type="spellEnd"/>
      <w:r w:rsidRPr="00B7317C">
        <w:rPr>
          <w:rFonts w:ascii="Times New Roman" w:eastAsia="Times New Roman" w:hAnsi="Times New Roman" w:cs="Times New Roman"/>
          <w:sz w:val="24"/>
          <w:szCs w:val="24"/>
          <w:lang w:eastAsia="es-EC"/>
        </w:rPr>
        <w:t xml:space="preserve"> productive </w:t>
      </w:r>
      <w:proofErr w:type="spellStart"/>
      <w:r w:rsidRPr="00B7317C">
        <w:rPr>
          <w:rFonts w:ascii="Times New Roman" w:eastAsia="Times New Roman" w:hAnsi="Times New Roman" w:cs="Times New Roman"/>
          <w:sz w:val="24"/>
          <w:szCs w:val="24"/>
          <w:lang w:eastAsia="es-EC"/>
        </w:rPr>
        <w:t>intensification</w:t>
      </w:r>
      <w:proofErr w:type="spellEnd"/>
      <w:r w:rsidRPr="00B7317C">
        <w:rPr>
          <w:rFonts w:ascii="Times New Roman" w:eastAsia="Times New Roman" w:hAnsi="Times New Roman" w:cs="Times New Roman"/>
          <w:sz w:val="24"/>
          <w:szCs w:val="24"/>
          <w:lang w:eastAsia="es-EC"/>
        </w:rPr>
        <w:t xml:space="preserve"> and </w:t>
      </w:r>
      <w:proofErr w:type="spellStart"/>
      <w:r w:rsidRPr="00B7317C">
        <w:rPr>
          <w:rFonts w:ascii="Times New Roman" w:eastAsia="Times New Roman" w:hAnsi="Times New Roman" w:cs="Times New Roman"/>
          <w:sz w:val="24"/>
          <w:szCs w:val="24"/>
          <w:lang w:eastAsia="es-EC"/>
        </w:rPr>
        <w:t>the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expansion</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of</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homogeneous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surfaces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particularly</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cultivated</w:t>
      </w:r>
      <w:proofErr w:type="spellEnd"/>
      <w:r w:rsidRPr="00B7317C">
        <w:rPr>
          <w:rFonts w:ascii="Times New Roman" w:eastAsia="Times New Roman" w:hAnsi="Times New Roman" w:cs="Times New Roman"/>
          <w:sz w:val="24"/>
          <w:szCs w:val="24"/>
          <w:lang w:eastAsia="es-EC"/>
        </w:rPr>
        <w:t xml:space="preserve"> pastures, </w:t>
      </w:r>
      <w:proofErr w:type="spellStart"/>
      <w:r w:rsidRPr="00B7317C">
        <w:rPr>
          <w:rFonts w:ascii="Times New Roman" w:eastAsia="Times New Roman" w:hAnsi="Times New Roman" w:cs="Times New Roman"/>
          <w:sz w:val="24"/>
          <w:szCs w:val="24"/>
          <w:lang w:eastAsia="es-EC"/>
        </w:rPr>
        <w:t>representing</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approximately</w:t>
      </w:r>
      <w:proofErr w:type="spellEnd"/>
      <w:r w:rsidRPr="00B7317C">
        <w:rPr>
          <w:rFonts w:ascii="Times New Roman" w:eastAsia="Times New Roman" w:hAnsi="Times New Roman" w:cs="Times New Roman"/>
          <w:sz w:val="24"/>
          <w:szCs w:val="24"/>
          <w:lang w:eastAsia="es-EC"/>
        </w:rPr>
        <w:t xml:space="preserve"> 45.6 % </w:t>
      </w:r>
      <w:proofErr w:type="spellStart"/>
      <w:r w:rsidRPr="00B7317C">
        <w:rPr>
          <w:rFonts w:ascii="Times New Roman" w:eastAsia="Times New Roman" w:hAnsi="Times New Roman" w:cs="Times New Roman"/>
          <w:sz w:val="24"/>
          <w:szCs w:val="24"/>
          <w:lang w:eastAsia="es-EC"/>
        </w:rPr>
        <w:t>of</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the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agricultural</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matrix</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Additionally</w:t>
      </w:r>
      <w:proofErr w:type="spellEnd"/>
      <w:r w:rsidRPr="00B7317C">
        <w:rPr>
          <w:rFonts w:ascii="Times New Roman" w:eastAsia="Times New Roman" w:hAnsi="Times New Roman" w:cs="Times New Roman"/>
          <w:sz w:val="24"/>
          <w:szCs w:val="24"/>
          <w:lang w:eastAsia="es-EC"/>
        </w:rPr>
        <w:t xml:space="preserve">, a </w:t>
      </w:r>
      <w:proofErr w:type="spellStart"/>
      <w:r w:rsidRPr="00B7317C">
        <w:rPr>
          <w:rFonts w:ascii="Times New Roman" w:eastAsia="Times New Roman" w:hAnsi="Times New Roman" w:cs="Times New Roman"/>
          <w:sz w:val="24"/>
          <w:szCs w:val="24"/>
          <w:lang w:eastAsia="es-EC"/>
        </w:rPr>
        <w:t>progressive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reduction</w:t>
      </w:r>
      <w:proofErr w:type="spellEnd"/>
      <w:r w:rsidRPr="00B7317C">
        <w:rPr>
          <w:rFonts w:ascii="Times New Roman" w:eastAsia="Times New Roman" w:hAnsi="Times New Roman" w:cs="Times New Roman"/>
          <w:sz w:val="24"/>
          <w:szCs w:val="24"/>
          <w:lang w:eastAsia="es-EC"/>
        </w:rPr>
        <w:t xml:space="preserve"> in </w:t>
      </w:r>
      <w:proofErr w:type="spellStart"/>
      <w:r w:rsidRPr="00B7317C">
        <w:rPr>
          <w:rFonts w:ascii="Times New Roman" w:eastAsia="Times New Roman" w:hAnsi="Times New Roman" w:cs="Times New Roman"/>
          <w:sz w:val="24"/>
          <w:szCs w:val="24"/>
          <w:lang w:eastAsia="es-EC"/>
        </w:rPr>
        <w:t>deforestation</w:t>
      </w:r>
      <w:proofErr w:type="spellEnd"/>
      <w:r w:rsidRPr="00B7317C">
        <w:rPr>
          <w:rFonts w:ascii="Times New Roman" w:eastAsia="Times New Roman" w:hAnsi="Times New Roman" w:cs="Times New Roman"/>
          <w:sz w:val="24"/>
          <w:szCs w:val="24"/>
          <w:lang w:eastAsia="es-EC"/>
        </w:rPr>
        <w:t xml:space="preserve"> and </w:t>
      </w:r>
      <w:proofErr w:type="spellStart"/>
      <w:r w:rsidRPr="00B7317C">
        <w:rPr>
          <w:rFonts w:ascii="Times New Roman" w:eastAsia="Times New Roman" w:hAnsi="Times New Roman" w:cs="Times New Roman"/>
          <w:sz w:val="24"/>
          <w:szCs w:val="24"/>
          <w:lang w:eastAsia="es-EC"/>
        </w:rPr>
        <w:t>an</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increase</w:t>
      </w:r>
      <w:proofErr w:type="spellEnd"/>
      <w:r w:rsidRPr="00B7317C">
        <w:rPr>
          <w:rFonts w:ascii="Times New Roman" w:eastAsia="Times New Roman" w:hAnsi="Times New Roman" w:cs="Times New Roman"/>
          <w:sz w:val="24"/>
          <w:szCs w:val="24"/>
          <w:lang w:eastAsia="es-EC"/>
        </w:rPr>
        <w:t xml:space="preserve"> in </w:t>
      </w:r>
      <w:proofErr w:type="spellStart"/>
      <w:r w:rsidRPr="00B7317C">
        <w:rPr>
          <w:rFonts w:ascii="Times New Roman" w:eastAsia="Times New Roman" w:hAnsi="Times New Roman" w:cs="Times New Roman"/>
          <w:sz w:val="24"/>
          <w:szCs w:val="24"/>
          <w:lang w:eastAsia="es-EC"/>
        </w:rPr>
        <w:t>restoration</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initiatives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were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identified</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although</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significant</w:t>
      </w:r>
      <w:proofErr w:type="spellEnd"/>
      <w:r w:rsidRPr="00B7317C">
        <w:rPr>
          <w:rFonts w:ascii="Times New Roman" w:eastAsia="Times New Roman" w:hAnsi="Times New Roman" w:cs="Times New Roman"/>
          <w:sz w:val="24"/>
          <w:szCs w:val="24"/>
          <w:lang w:eastAsia="es-EC"/>
        </w:rPr>
        <w:t xml:space="preserve"> territorial </w:t>
      </w:r>
      <w:proofErr w:type="spellStart"/>
      <w:r w:rsidRPr="00B7317C">
        <w:rPr>
          <w:rFonts w:ascii="Times New Roman" w:eastAsia="Times New Roman" w:hAnsi="Times New Roman" w:cs="Times New Roman"/>
          <w:sz w:val="24"/>
          <w:szCs w:val="24"/>
          <w:lang w:eastAsia="es-EC"/>
        </w:rPr>
        <w:t>pressure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remains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Importantly</w:t>
      </w:r>
      <w:proofErr w:type="spellEnd"/>
      <w:r w:rsidRPr="00B7317C">
        <w:rPr>
          <w:rFonts w:ascii="Times New Roman" w:eastAsia="Times New Roman" w:hAnsi="Times New Roman" w:cs="Times New Roman"/>
          <w:sz w:val="24"/>
          <w:szCs w:val="24"/>
          <w:lang w:eastAsia="es-EC"/>
        </w:rPr>
        <w:t xml:space="preserve">, natural </w:t>
      </w:r>
      <w:proofErr w:type="spellStart"/>
      <w:r w:rsidRPr="00B7317C">
        <w:rPr>
          <w:rFonts w:ascii="Times New Roman" w:eastAsia="Times New Roman" w:hAnsi="Times New Roman" w:cs="Times New Roman"/>
          <w:sz w:val="24"/>
          <w:szCs w:val="24"/>
          <w:lang w:eastAsia="es-EC"/>
        </w:rPr>
        <w:t>regeneration</w:t>
      </w:r>
      <w:proofErr w:type="spellEnd"/>
      <w:r w:rsidRPr="00B7317C">
        <w:rPr>
          <w:rFonts w:ascii="Times New Roman" w:eastAsia="Times New Roman" w:hAnsi="Times New Roman" w:cs="Times New Roman"/>
          <w:sz w:val="24"/>
          <w:szCs w:val="24"/>
          <w:lang w:eastAsia="es-EC"/>
        </w:rPr>
        <w:t xml:space="preserve"> and </w:t>
      </w:r>
      <w:proofErr w:type="spellStart"/>
      <w:r w:rsidRPr="00B7317C">
        <w:rPr>
          <w:rFonts w:ascii="Times New Roman" w:eastAsia="Times New Roman" w:hAnsi="Times New Roman" w:cs="Times New Roman"/>
          <w:sz w:val="24"/>
          <w:szCs w:val="24"/>
          <w:lang w:eastAsia="es-EC"/>
        </w:rPr>
        <w:t>structural</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heterogeneity</w:t>
      </w:r>
      <w:proofErr w:type="spellEnd"/>
      <w:r w:rsidRPr="00B7317C">
        <w:rPr>
          <w:rFonts w:ascii="Times New Roman" w:eastAsia="Times New Roman" w:hAnsi="Times New Roman" w:cs="Times New Roman"/>
          <w:sz w:val="24"/>
          <w:szCs w:val="24"/>
          <w:lang w:eastAsia="es-EC"/>
        </w:rPr>
        <w:t xml:space="preserve"> emerged as </w:t>
      </w:r>
      <w:proofErr w:type="spellStart"/>
      <w:r w:rsidRPr="00B7317C">
        <w:rPr>
          <w:rFonts w:ascii="Times New Roman" w:eastAsia="Times New Roman" w:hAnsi="Times New Roman" w:cs="Times New Roman"/>
          <w:sz w:val="24"/>
          <w:szCs w:val="24"/>
          <w:lang w:eastAsia="es-EC"/>
        </w:rPr>
        <w:t>key</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factors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driving</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the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transition</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toward</w:t>
      </w:r>
      <w:proofErr w:type="spellEnd"/>
      <w:r w:rsidRPr="00B7317C">
        <w:rPr>
          <w:rFonts w:ascii="Times New Roman" w:eastAsia="Times New Roman" w:hAnsi="Times New Roman" w:cs="Times New Roman"/>
          <w:sz w:val="24"/>
          <w:szCs w:val="24"/>
          <w:lang w:eastAsia="es-EC"/>
        </w:rPr>
        <w:t xml:space="preserve"> more </w:t>
      </w:r>
      <w:proofErr w:type="spellStart"/>
      <w:r w:rsidRPr="00B7317C">
        <w:rPr>
          <w:rFonts w:ascii="Times New Roman" w:eastAsia="Times New Roman" w:hAnsi="Times New Roman" w:cs="Times New Roman"/>
          <w:sz w:val="24"/>
          <w:szCs w:val="24"/>
          <w:lang w:eastAsia="es-EC"/>
        </w:rPr>
        <w:t>complex</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forest</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configurations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Therefore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transformation</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silviculture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represents</w:t>
      </w:r>
      <w:proofErr w:type="spellEnd"/>
      <w:r w:rsidRPr="00B7317C">
        <w:rPr>
          <w:rFonts w:ascii="Times New Roman" w:eastAsia="Times New Roman" w:hAnsi="Times New Roman" w:cs="Times New Roman"/>
          <w:sz w:val="24"/>
          <w:szCs w:val="24"/>
          <w:lang w:eastAsia="es-EC"/>
        </w:rPr>
        <w:t xml:space="preserve"> a viable alternative </w:t>
      </w:r>
      <w:proofErr w:type="spellStart"/>
      <w:r w:rsidRPr="00B7317C">
        <w:rPr>
          <w:rFonts w:ascii="Times New Roman" w:eastAsia="Times New Roman" w:hAnsi="Times New Roman" w:cs="Times New Roman"/>
          <w:sz w:val="24"/>
          <w:szCs w:val="24"/>
          <w:lang w:eastAsia="es-EC"/>
        </w:rPr>
        <w:t>to</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improve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ecological</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stability</w:t>
      </w:r>
      <w:proofErr w:type="spellEnd"/>
      <w:r w:rsidRPr="00B7317C">
        <w:rPr>
          <w:rFonts w:ascii="Times New Roman" w:eastAsia="Times New Roman" w:hAnsi="Times New Roman" w:cs="Times New Roman"/>
          <w:sz w:val="24"/>
          <w:szCs w:val="24"/>
          <w:lang w:eastAsia="es-EC"/>
        </w:rPr>
        <w:t xml:space="preserve"> and </w:t>
      </w:r>
      <w:proofErr w:type="spellStart"/>
      <w:r w:rsidRPr="00B7317C">
        <w:rPr>
          <w:rFonts w:ascii="Times New Roman" w:eastAsia="Times New Roman" w:hAnsi="Times New Roman" w:cs="Times New Roman"/>
          <w:sz w:val="24"/>
          <w:szCs w:val="24"/>
          <w:lang w:eastAsia="es-EC"/>
        </w:rPr>
        <w:t>forest</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functionality</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provided</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it</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is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supported</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by</w:t>
      </w:r>
      <w:proofErr w:type="spellEnd"/>
      <w:r w:rsidRPr="00B7317C">
        <w:rPr>
          <w:rFonts w:ascii="Times New Roman" w:eastAsia="Times New Roman" w:hAnsi="Times New Roman" w:cs="Times New Roman"/>
          <w:sz w:val="24"/>
          <w:szCs w:val="24"/>
          <w:lang w:eastAsia="es-EC"/>
        </w:rPr>
        <w:t xml:space="preserve"> adaptive </w:t>
      </w:r>
      <w:proofErr w:type="spellStart"/>
      <w:r w:rsidRPr="00B7317C">
        <w:rPr>
          <w:rFonts w:ascii="Times New Roman" w:eastAsia="Times New Roman" w:hAnsi="Times New Roman" w:cs="Times New Roman"/>
          <w:sz w:val="24"/>
          <w:szCs w:val="24"/>
          <w:lang w:eastAsia="es-EC"/>
        </w:rPr>
        <w:t>planning</w:t>
      </w:r>
      <w:proofErr w:type="spellEnd"/>
      <w:r w:rsidRPr="00B7317C">
        <w:rPr>
          <w:rFonts w:ascii="Times New Roman" w:eastAsia="Times New Roman" w:hAnsi="Times New Roman" w:cs="Times New Roman"/>
          <w:sz w:val="24"/>
          <w:szCs w:val="24"/>
          <w:lang w:eastAsia="es-EC"/>
        </w:rPr>
        <w:t xml:space="preserve"> and </w:t>
      </w:r>
      <w:proofErr w:type="spellStart"/>
      <w:r w:rsidRPr="00B7317C">
        <w:rPr>
          <w:rFonts w:ascii="Times New Roman" w:eastAsia="Times New Roman" w:hAnsi="Times New Roman" w:cs="Times New Roman"/>
          <w:sz w:val="24"/>
          <w:szCs w:val="24"/>
          <w:lang w:eastAsia="es-EC"/>
        </w:rPr>
        <w:t>rigorous</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technical</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diagnostics</w:t>
      </w:r>
      <w:proofErr w:type="spellEnd"/>
      <w:r w:rsidRPr="00B7317C">
        <w:rPr>
          <w:rFonts w:ascii="Times New Roman" w:eastAsia="Times New Roman" w:hAnsi="Times New Roman" w:cs="Times New Roman"/>
          <w:sz w:val="24"/>
          <w:szCs w:val="24"/>
          <w:lang w:eastAsia="es-EC"/>
        </w:rPr>
        <w:t>.</w:t>
      </w:r>
    </w:p>
    <w:p w14:paraId="7872663A" w14:textId="77777777" w:rsidR="00B7317C" w:rsidRPr="00B7317C" w:rsidRDefault="00B7317C"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proofErr w:type="spellStart"/>
      <w:r w:rsidRPr="00B7317C">
        <w:rPr>
          <w:rFonts w:ascii="Times New Roman" w:eastAsia="Times New Roman" w:hAnsi="Times New Roman" w:cs="Times New Roman"/>
          <w:b/>
          <w:bCs/>
          <w:sz w:val="24"/>
          <w:szCs w:val="24"/>
          <w:lang w:eastAsia="es-EC"/>
        </w:rPr>
        <w:t>Keywords</w:t>
      </w:r>
      <w:proofErr w:type="spellEnd"/>
      <w:r w:rsidRPr="00B7317C">
        <w:rPr>
          <w:rFonts w:ascii="Times New Roman" w:eastAsia="Times New Roman" w:hAnsi="Times New Roman" w:cs="Times New Roman"/>
          <w:b/>
          <w:bCs/>
          <w:sz w:val="24"/>
          <w:szCs w:val="24"/>
          <w:lang w:eastAsia="es-EC"/>
        </w:rPr>
        <w:t>:</w:t>
      </w:r>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Transformation</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silviculture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homogeneous</w:t>
      </w:r>
      <w:proofErr w:type="spellEnd"/>
      <w:r w:rsidRPr="00B7317C">
        <w:rPr>
          <w:rFonts w:ascii="Times New Roman" w:eastAsia="Times New Roman" w:hAnsi="Times New Roman" w:cs="Times New Roman"/>
          <w:sz w:val="24"/>
          <w:szCs w:val="24"/>
          <w:lang w:eastAsia="es-EC"/>
        </w:rPr>
        <w:t xml:space="preserve"> stands, irregular </w:t>
      </w:r>
      <w:proofErr w:type="spellStart"/>
      <w:r w:rsidRPr="00B7317C">
        <w:rPr>
          <w:rFonts w:ascii="Times New Roman" w:eastAsia="Times New Roman" w:hAnsi="Times New Roman" w:cs="Times New Roman"/>
          <w:sz w:val="24"/>
          <w:szCs w:val="24"/>
          <w:lang w:eastAsia="es-EC"/>
        </w:rPr>
        <w:t>structures</w:t>
      </w:r>
      <w:proofErr w:type="spellEnd"/>
      <w:r w:rsidRPr="00B7317C">
        <w:rPr>
          <w:rFonts w:ascii="Times New Roman" w:eastAsia="Times New Roman" w:hAnsi="Times New Roman" w:cs="Times New Roman"/>
          <w:sz w:val="24"/>
          <w:szCs w:val="24"/>
          <w:lang w:eastAsia="es-EC"/>
        </w:rPr>
        <w:t xml:space="preserve">, natural </w:t>
      </w:r>
      <w:proofErr w:type="spellStart"/>
      <w:r w:rsidRPr="00B7317C">
        <w:rPr>
          <w:rFonts w:ascii="Times New Roman" w:eastAsia="Times New Roman" w:hAnsi="Times New Roman" w:cs="Times New Roman"/>
          <w:sz w:val="24"/>
          <w:szCs w:val="24"/>
          <w:lang w:eastAsia="es-EC"/>
        </w:rPr>
        <w:t>regeneration</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sustainable</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forest</w:t>
      </w:r>
      <w:proofErr w:type="spellEnd"/>
      <w:r w:rsidRPr="00B7317C">
        <w:rPr>
          <w:rFonts w:ascii="Times New Roman" w:eastAsia="Times New Roman" w:hAnsi="Times New Roman" w:cs="Times New Roman"/>
          <w:sz w:val="24"/>
          <w:szCs w:val="24"/>
          <w:lang w:eastAsia="es-EC"/>
        </w:rPr>
        <w:t xml:space="preserve"> </w:t>
      </w:r>
      <w:proofErr w:type="spellStart"/>
      <w:r w:rsidRPr="00B7317C">
        <w:rPr>
          <w:rFonts w:ascii="Times New Roman" w:eastAsia="Times New Roman" w:hAnsi="Times New Roman" w:cs="Times New Roman"/>
          <w:sz w:val="24"/>
          <w:szCs w:val="24"/>
          <w:lang w:eastAsia="es-EC"/>
        </w:rPr>
        <w:t>management</w:t>
      </w:r>
      <w:proofErr w:type="spellEnd"/>
    </w:p>
    <w:p w14:paraId="57C8A858" w14:textId="77777777" w:rsidR="00AD392F" w:rsidRPr="00B7317C" w:rsidRDefault="00AD392F" w:rsidP="00B7317C">
      <w:pPr>
        <w:pStyle w:val="NormalWeb"/>
        <w:jc w:val="both"/>
      </w:pPr>
      <w:r w:rsidRPr="00B7317C">
        <w:rPr>
          <w:rStyle w:val="Textoennegrita"/>
        </w:rPr>
        <w:t>Introducción</w:t>
      </w:r>
    </w:p>
    <w:p w14:paraId="47EF19C0" w14:textId="77777777" w:rsidR="00AD392F" w:rsidRPr="00B7317C" w:rsidRDefault="00AD392F" w:rsidP="00B7317C">
      <w:pPr>
        <w:pStyle w:val="NormalWeb"/>
        <w:jc w:val="both"/>
      </w:pPr>
      <w:r w:rsidRPr="00B7317C">
        <w:t>La gestión forestal ha experimentado una transformación paradigmática en las últimas décadas, orientándose progresivamente hacia modelos ecosistémicos que priorizan la sostenibilidad, la resiliencia y la multifuncionalidad de los bosques. En este contexto, la silvicultura de transformación emerge como un enfoque técnico orientado a reconvertir masas forestales homogéneas, generalmente asociadas a plantaciones monoespecíficas o sistemas coetáneos, en estructuras irregularizadas que replican procesos naturales de sucesión y dinámica forestal. Este enfoque responde a la necesidad de superar esquemas tradicionales de manejo que reducen la biodiversidad y limitan la estabilidad ecológica de los ecosistemas (</w:t>
      </w:r>
      <w:proofErr w:type="spellStart"/>
      <w:r w:rsidRPr="00B7317C">
        <w:t>Catagua</w:t>
      </w:r>
      <w:proofErr w:type="spellEnd"/>
      <w:r w:rsidRPr="00B7317C">
        <w:t xml:space="preserve"> &amp; Guerrero, 2023).</w:t>
      </w:r>
    </w:p>
    <w:p w14:paraId="3ABBB62A" w14:textId="77777777" w:rsidR="00AD392F" w:rsidRPr="00B7317C" w:rsidRDefault="00AD392F" w:rsidP="00B7317C">
      <w:pPr>
        <w:pStyle w:val="NormalWeb"/>
        <w:jc w:val="both"/>
      </w:pPr>
      <w:r w:rsidRPr="00B7317C">
        <w:t>Desde una perspectiva estructural, las masas homogéneas se caracterizan por una distribución uniforme de edades, diámetros y alturas, lo que genera sistemas simplificados y vulnerables frente a perturbaciones. En contraste, las estructuras irregularizadas presentan una heterogeneidad espacial y vertical, con múltiples clases diamétricas y estratos, lo que favorece la resiliencia del ecosistema y mejora la funcionalidad ecológica del bosque. En este sentido, la conversión silvicultural implica intervenciones progresivas que modifican la densidad, composición y distribución de los individuos, promoviendo una transición hacia sistemas forestales más complejos y dinámicos (López &amp; Martínez, 2022).</w:t>
      </w:r>
    </w:p>
    <w:p w14:paraId="4E4833D0" w14:textId="77777777" w:rsidR="00AD392F" w:rsidRPr="00B7317C" w:rsidRDefault="00AD392F" w:rsidP="00B7317C">
      <w:pPr>
        <w:pStyle w:val="NormalWeb"/>
        <w:jc w:val="both"/>
      </w:pPr>
      <w:r w:rsidRPr="00B7317C">
        <w:t xml:space="preserve">Asimismo, la literatura reciente ha evidenciado que la diversificación estructural de los bosques incrementa la capacidad de adaptación frente al cambio climático, optimiza la captura de carbono y fortalece la provisión de servicios ecosistémicos como la regulación </w:t>
      </w:r>
      <w:r w:rsidRPr="00B7317C">
        <w:lastRenderedPageBreak/>
        <w:t>hídrica y la conservación de la biodiversidad. En el contexto latinoamericano, estas estrategias adquieren especial relevancia debido a la presión antrópica sobre los recursos forestales, derivada de la expansión agrícola, la deforestación y el uso inadecuado del suelo. En consecuencia, la silvicultura de transformación se posiciona como una herramienta clave para la restauración ecológica y la sostenibilidad forestal (Pérez et al., 2021).</w:t>
      </w:r>
    </w:p>
    <w:p w14:paraId="42F88223" w14:textId="77777777" w:rsidR="00AD392F" w:rsidRPr="00B7317C" w:rsidRDefault="00AD392F" w:rsidP="00B7317C">
      <w:pPr>
        <w:pStyle w:val="NormalWeb"/>
        <w:jc w:val="both"/>
      </w:pPr>
      <w:r w:rsidRPr="00B7317C">
        <w:t xml:space="preserve">Desde el punto de vista técnico, este enfoque requiere un diagnóstico detallado de la estructura forestal, considerando variables </w:t>
      </w:r>
      <w:proofErr w:type="spellStart"/>
      <w:r w:rsidRPr="00B7317C">
        <w:t>dendrométricas</w:t>
      </w:r>
      <w:proofErr w:type="spellEnd"/>
      <w:r w:rsidRPr="00B7317C">
        <w:t xml:space="preserve"> como el diámetro a la altura del pecho, la altura total, la densidad de individuos y la composición específica. A partir de esta caracterización, se diseñan tratamientos silvícolas como cortas selectivas, clareos progresivos y manejo de la regeneración natural, orientados a favorecer la heterogeneidad estructural y la estabilidad del ecosistema. Estas intervenciones deben enmarcarse en principios de manejo sostenible y planificación adaptativa, considerando las condiciones edafoclimáticas y las particularidades ecológicas de cada territorio (García &amp; Torres, 2022).</w:t>
      </w:r>
    </w:p>
    <w:p w14:paraId="52A54ECE" w14:textId="77777777" w:rsidR="00AD392F" w:rsidRPr="00B7317C" w:rsidRDefault="00AD392F" w:rsidP="00B7317C">
      <w:pPr>
        <w:pStyle w:val="NormalWeb"/>
        <w:jc w:val="both"/>
      </w:pPr>
      <w:r w:rsidRPr="00B7317C">
        <w:t>En este marco, esta investigación se orienta a analizar la silvicultura de transformación como estrategia para la conversión de masas homogéneas en estructuras irregularizadas, abordando sus fundamentos teóricos, los procesos técnicos asociados y los beneficios ecológicos derivados de su implementación. Asimismo, se busca aportar evidencia que contribuya al fortalecimiento de modelos de gestión forestal sostenible, capaces de equilibrar la producción maderable con la conservación de los ecosistemas forestales.</w:t>
      </w:r>
    </w:p>
    <w:p w14:paraId="2ACD29BA" w14:textId="77777777" w:rsidR="00295BF3" w:rsidRPr="00295BF3" w:rsidRDefault="00295BF3" w:rsidP="00B7317C">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C"/>
        </w:rPr>
      </w:pPr>
      <w:r w:rsidRPr="00295BF3">
        <w:rPr>
          <w:rFonts w:ascii="Times New Roman" w:eastAsia="Times New Roman" w:hAnsi="Times New Roman" w:cs="Times New Roman"/>
          <w:b/>
          <w:bCs/>
          <w:sz w:val="24"/>
          <w:szCs w:val="24"/>
          <w:lang w:eastAsia="es-EC"/>
        </w:rPr>
        <w:t>Bases estructurales y ecológicas de la conversión silvícola</w:t>
      </w:r>
    </w:p>
    <w:p w14:paraId="1BC685D6" w14:textId="77777777" w:rsidR="00295BF3" w:rsidRPr="00295BF3" w:rsidRDefault="00295BF3"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295BF3">
        <w:rPr>
          <w:rFonts w:ascii="Times New Roman" w:eastAsia="Times New Roman" w:hAnsi="Times New Roman" w:cs="Times New Roman"/>
          <w:sz w:val="24"/>
          <w:szCs w:val="24"/>
          <w:lang w:eastAsia="es-EC"/>
        </w:rPr>
        <w:t xml:space="preserve">En un rodal de plantación monoespecífica de pino establecido bajo esquemas coetáneos en la región andina ecuatoriana, la aplicación progresiva de cortas selectivas y la promoción de regeneración natural han permitido evidenciar la transición hacia una estructura más heterogénea, con múltiples estratos y clases diamétricas, lo que ilustra operativamente el principio de </w:t>
      </w:r>
      <w:proofErr w:type="spellStart"/>
      <w:r w:rsidRPr="00295BF3">
        <w:rPr>
          <w:rFonts w:ascii="Times New Roman" w:eastAsia="Times New Roman" w:hAnsi="Times New Roman" w:cs="Times New Roman"/>
          <w:sz w:val="24"/>
          <w:szCs w:val="24"/>
          <w:lang w:eastAsia="es-EC"/>
        </w:rPr>
        <w:t>irregularización</w:t>
      </w:r>
      <w:proofErr w:type="spellEnd"/>
      <w:r w:rsidRPr="00295BF3">
        <w:rPr>
          <w:rFonts w:ascii="Times New Roman" w:eastAsia="Times New Roman" w:hAnsi="Times New Roman" w:cs="Times New Roman"/>
          <w:sz w:val="24"/>
          <w:szCs w:val="24"/>
          <w:lang w:eastAsia="es-EC"/>
        </w:rPr>
        <w:t xml:space="preserve"> forestal. En este sentido, la silvicultura de transformación se fundamenta en que la estabilidad del bosque depende de su heterogeneidad estructural, debido a que las masas homogéneas concentran edades, alturas y densidades similares que reducen la capacidad adaptativa frente a perturbaciones. En consecuencia, la conversión hacia estructuras irregularizadas implica una reorganización funcional del ecosistema forestal, orientada a mejorar la resiliencia, la regeneración y la continuidad de cobertura (Holguín-Estrada et al., 2021).</w:t>
      </w:r>
    </w:p>
    <w:p w14:paraId="2A091E3D" w14:textId="77777777" w:rsidR="00295BF3" w:rsidRPr="00295BF3" w:rsidRDefault="00295BF3"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295BF3">
        <w:rPr>
          <w:rFonts w:ascii="Times New Roman" w:eastAsia="Times New Roman" w:hAnsi="Times New Roman" w:cs="Times New Roman"/>
          <w:sz w:val="24"/>
          <w:szCs w:val="24"/>
          <w:lang w:eastAsia="es-EC"/>
        </w:rPr>
        <w:t xml:space="preserve">Desde el análisis de la estructura vertical, se ha demostrado que la estratificación del bosque constituye un indicador clave para la toma de decisiones silvícolas, dado que permite identificar la distribución real de especies en distintos niveles del dosel (Holguín-Estrada et al., 2021). En paralelo, la composición florística, cuando se evalúa conjuntamente con la estructura, ofrece una lectura más precisa del estado </w:t>
      </w:r>
      <w:proofErr w:type="spellStart"/>
      <w:r w:rsidRPr="00295BF3">
        <w:rPr>
          <w:rFonts w:ascii="Times New Roman" w:eastAsia="Times New Roman" w:hAnsi="Times New Roman" w:cs="Times New Roman"/>
          <w:sz w:val="24"/>
          <w:szCs w:val="24"/>
          <w:lang w:eastAsia="es-EC"/>
        </w:rPr>
        <w:t>sucesional</w:t>
      </w:r>
      <w:proofErr w:type="spellEnd"/>
      <w:r w:rsidRPr="00295BF3">
        <w:rPr>
          <w:rFonts w:ascii="Times New Roman" w:eastAsia="Times New Roman" w:hAnsi="Times New Roman" w:cs="Times New Roman"/>
          <w:sz w:val="24"/>
          <w:szCs w:val="24"/>
          <w:lang w:eastAsia="es-EC"/>
        </w:rPr>
        <w:t xml:space="preserve"> del rodal (Hernández-Álvarez et al., 2021). Bajo esta lógica, la </w:t>
      </w:r>
      <w:proofErr w:type="spellStart"/>
      <w:r w:rsidRPr="00295BF3">
        <w:rPr>
          <w:rFonts w:ascii="Times New Roman" w:eastAsia="Times New Roman" w:hAnsi="Times New Roman" w:cs="Times New Roman"/>
          <w:sz w:val="24"/>
          <w:szCs w:val="24"/>
          <w:lang w:eastAsia="es-EC"/>
        </w:rPr>
        <w:t>irregularización</w:t>
      </w:r>
      <w:proofErr w:type="spellEnd"/>
      <w:r w:rsidRPr="00295BF3">
        <w:rPr>
          <w:rFonts w:ascii="Times New Roman" w:eastAsia="Times New Roman" w:hAnsi="Times New Roman" w:cs="Times New Roman"/>
          <w:sz w:val="24"/>
          <w:szCs w:val="24"/>
          <w:lang w:eastAsia="es-EC"/>
        </w:rPr>
        <w:t xml:space="preserve"> no responde a un patrón uniforme, sino que depende de las condiciones ecológicas específicas de cada sistema forestal.</w:t>
      </w:r>
    </w:p>
    <w:p w14:paraId="3AD9C62E" w14:textId="77777777" w:rsidR="00295BF3" w:rsidRPr="00295BF3" w:rsidRDefault="00295BF3"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295BF3">
        <w:rPr>
          <w:rFonts w:ascii="Times New Roman" w:eastAsia="Times New Roman" w:hAnsi="Times New Roman" w:cs="Times New Roman"/>
          <w:sz w:val="24"/>
          <w:szCs w:val="24"/>
          <w:lang w:eastAsia="es-EC"/>
        </w:rPr>
        <w:t xml:space="preserve">Adicionalmente, la regeneración natural desempeña un papel determinante en la transformación estructural, ya que la capacidad de establecimiento de nuevas cohortes condiciona la evolución del rodal hacia configuraciones más complejas (Flores Rodríguez </w:t>
      </w:r>
      <w:r w:rsidRPr="00295BF3">
        <w:rPr>
          <w:rFonts w:ascii="Times New Roman" w:eastAsia="Times New Roman" w:hAnsi="Times New Roman" w:cs="Times New Roman"/>
          <w:sz w:val="24"/>
          <w:szCs w:val="24"/>
          <w:lang w:eastAsia="es-EC"/>
        </w:rPr>
        <w:lastRenderedPageBreak/>
        <w:t xml:space="preserve">et al., 2021). En ecosistemas previamente intervenidos, como el matorral espinoso tamaulipeco, se ha observado que la recuperación estructural está asociada a la redistribución de individuos por clases de tamaño y a la diversidad funcional (Patiño-Flores et al., 2021). De igual manera, la modelación de estructuras diamétricas confirma que la distribución de diámetros es un indicador técnico fundamental para diagnosticar procesos de transición hacia sistemas </w:t>
      </w:r>
      <w:proofErr w:type="spellStart"/>
      <w:r w:rsidRPr="00295BF3">
        <w:rPr>
          <w:rFonts w:ascii="Times New Roman" w:eastAsia="Times New Roman" w:hAnsi="Times New Roman" w:cs="Times New Roman"/>
          <w:sz w:val="24"/>
          <w:szCs w:val="24"/>
          <w:lang w:eastAsia="es-EC"/>
        </w:rPr>
        <w:t>incoetáneos</w:t>
      </w:r>
      <w:proofErr w:type="spellEnd"/>
      <w:r w:rsidRPr="00295BF3">
        <w:rPr>
          <w:rFonts w:ascii="Times New Roman" w:eastAsia="Times New Roman" w:hAnsi="Times New Roman" w:cs="Times New Roman"/>
          <w:sz w:val="24"/>
          <w:szCs w:val="24"/>
          <w:lang w:eastAsia="es-EC"/>
        </w:rPr>
        <w:t xml:space="preserve"> (Vega et al., 2022).</w:t>
      </w:r>
    </w:p>
    <w:p w14:paraId="4F949925" w14:textId="77777777" w:rsidR="00295BF3" w:rsidRPr="00295BF3" w:rsidRDefault="00295BF3"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295BF3">
        <w:rPr>
          <w:rFonts w:ascii="Times New Roman" w:eastAsia="Times New Roman" w:hAnsi="Times New Roman" w:cs="Times New Roman"/>
          <w:sz w:val="24"/>
          <w:szCs w:val="24"/>
          <w:lang w:eastAsia="es-EC"/>
        </w:rPr>
        <w:t xml:space="preserve">En términos ecosistémicos, la heterogeneidad estructural se vincula directamente con la capacidad de almacenamiento de carbono y con la provisión de servicios ambientales (Rascón-Solano et al., 2022). Asimismo, la dinámica de crecimiento, mortalidad y reclutamiento de especies forestales evidencia que la estructura del bosque es el resultado de procesos ecológicos simultáneos que deben ser considerados en el diseño de intervenciones silvícolas (Aguirre Mendoza et al., 2022). En el contexto latinoamericano, la caracterización de bosques secos y </w:t>
      </w:r>
      <w:proofErr w:type="spellStart"/>
      <w:r w:rsidRPr="00295BF3">
        <w:rPr>
          <w:rFonts w:ascii="Times New Roman" w:eastAsia="Times New Roman" w:hAnsi="Times New Roman" w:cs="Times New Roman"/>
          <w:sz w:val="24"/>
          <w:szCs w:val="24"/>
          <w:lang w:eastAsia="es-EC"/>
        </w:rPr>
        <w:t>riparios</w:t>
      </w:r>
      <w:proofErr w:type="spellEnd"/>
      <w:r w:rsidRPr="00295BF3">
        <w:rPr>
          <w:rFonts w:ascii="Times New Roman" w:eastAsia="Times New Roman" w:hAnsi="Times New Roman" w:cs="Times New Roman"/>
          <w:sz w:val="24"/>
          <w:szCs w:val="24"/>
          <w:lang w:eastAsia="es-EC"/>
        </w:rPr>
        <w:t xml:space="preserve"> ha permitido identificar patrones estructurales que orientan estrategias de manejo sostenible y restauración ecológica (Cuéllar-Cardozo et al., 2022). De igual forma, la evaluación de la diversidad y estructura en fragmentos forestales evidencia oportunidades de intervención para mejorar la complejidad ecológica del sistema (Luna-Blanco et al., 2022). En Ecuador, estudios en bosques secos tropicales han confirmado que la composición arbórea y la estructura determinan las posibilidades de reconversión hacia modelos más sostenibles (Ramírez Huila &amp; Ayoví Garcés, 2022). A ello se suma que los fragmentos forestales asociados a comunidades humanas conservan patrones estructurales que pueden ser potenciados mediante manejo técnico (Ramírez-Huila et al., 2023).</w:t>
      </w:r>
    </w:p>
    <w:p w14:paraId="12C3F065" w14:textId="77777777" w:rsidR="00295BF3" w:rsidRPr="00295BF3" w:rsidRDefault="00295BF3" w:rsidP="00B7317C">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C"/>
        </w:rPr>
      </w:pPr>
      <w:r w:rsidRPr="00295BF3">
        <w:rPr>
          <w:rFonts w:ascii="Times New Roman" w:eastAsia="Times New Roman" w:hAnsi="Times New Roman" w:cs="Times New Roman"/>
          <w:b/>
          <w:bCs/>
          <w:sz w:val="24"/>
          <w:szCs w:val="24"/>
          <w:lang w:eastAsia="es-EC"/>
        </w:rPr>
        <w:t>Intervención silvícola, regeneración y restauración funcional</w:t>
      </w:r>
    </w:p>
    <w:p w14:paraId="01E9FEE7" w14:textId="77777777" w:rsidR="00295BF3" w:rsidRPr="00295BF3" w:rsidRDefault="00295BF3"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295BF3">
        <w:rPr>
          <w:rFonts w:ascii="Times New Roman" w:eastAsia="Times New Roman" w:hAnsi="Times New Roman" w:cs="Times New Roman"/>
          <w:sz w:val="24"/>
          <w:szCs w:val="24"/>
          <w:lang w:eastAsia="es-EC"/>
        </w:rPr>
        <w:t>En un sistema forestal intervenido del noreste de México, la implementación de tratamientos de restauración combinados con monitoreo de regeneración natural ha permitido observar cómo la apertura controlada del dosel y la incorporación de especies nativas favorecen la transición desde una masa simplificada hacia una estructura más compleja y funcional. En este contexto, la conversión silvícola exige intervenciones graduales y selectivas, dado que la simple remoción de individuos no garantiza la reorganización del ecosistema. Por ello, resulta imprescindible integrar diagnósticos estructurales con evaluaciones de regeneración y dinámica poblacional (García-García et al., 2023).</w:t>
      </w:r>
    </w:p>
    <w:p w14:paraId="08E49DD7" w14:textId="77777777" w:rsidR="00295BF3" w:rsidRPr="00295BF3" w:rsidRDefault="00295BF3"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295BF3">
        <w:rPr>
          <w:rFonts w:ascii="Times New Roman" w:eastAsia="Times New Roman" w:hAnsi="Times New Roman" w:cs="Times New Roman"/>
          <w:sz w:val="24"/>
          <w:szCs w:val="24"/>
          <w:lang w:eastAsia="es-EC"/>
        </w:rPr>
        <w:t xml:space="preserve">La regeneración arbórea constituye un componente central en los procesos de </w:t>
      </w:r>
      <w:proofErr w:type="spellStart"/>
      <w:r w:rsidRPr="00295BF3">
        <w:rPr>
          <w:rFonts w:ascii="Times New Roman" w:eastAsia="Times New Roman" w:hAnsi="Times New Roman" w:cs="Times New Roman"/>
          <w:sz w:val="24"/>
          <w:szCs w:val="24"/>
          <w:lang w:eastAsia="es-EC"/>
        </w:rPr>
        <w:t>irregularización</w:t>
      </w:r>
      <w:proofErr w:type="spellEnd"/>
      <w:r w:rsidRPr="00295BF3">
        <w:rPr>
          <w:rFonts w:ascii="Times New Roman" w:eastAsia="Times New Roman" w:hAnsi="Times New Roman" w:cs="Times New Roman"/>
          <w:sz w:val="24"/>
          <w:szCs w:val="24"/>
          <w:lang w:eastAsia="es-EC"/>
        </w:rPr>
        <w:t>, ya que asegura la continuidad del bosque en el tiempo (Zepeda Gómez et al., 2023). En este sentido, el monitoreo de plantaciones con especies nativas ha demostrado que la supervivencia y el establecimiento dependen de condiciones locales específicas, lo que exige una planificación adaptativa (Mata-Balderas et al., 2022). Posteriormente, la evaluación de estos procesos ha evidenciado que la combinación entre reforestación y regeneración natural fortalece la recuperación estructural del ecosistema (Mata-Balderas et al., 2023).</w:t>
      </w:r>
    </w:p>
    <w:p w14:paraId="4588043E" w14:textId="77777777" w:rsidR="00295BF3" w:rsidRPr="00295BF3" w:rsidRDefault="00295BF3"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295BF3">
        <w:rPr>
          <w:rFonts w:ascii="Times New Roman" w:eastAsia="Times New Roman" w:hAnsi="Times New Roman" w:cs="Times New Roman"/>
          <w:sz w:val="24"/>
          <w:szCs w:val="24"/>
          <w:lang w:eastAsia="es-EC"/>
        </w:rPr>
        <w:t xml:space="preserve">En áreas restauradas, la regeneración natural puede convertirse en el principal mecanismo de reestructuración del rodal, favoreciendo trayectorias </w:t>
      </w:r>
      <w:proofErr w:type="spellStart"/>
      <w:r w:rsidRPr="00295BF3">
        <w:rPr>
          <w:rFonts w:ascii="Times New Roman" w:eastAsia="Times New Roman" w:hAnsi="Times New Roman" w:cs="Times New Roman"/>
          <w:sz w:val="24"/>
          <w:szCs w:val="24"/>
          <w:lang w:eastAsia="es-EC"/>
        </w:rPr>
        <w:t>sucesionales</w:t>
      </w:r>
      <w:proofErr w:type="spellEnd"/>
      <w:r w:rsidRPr="00295BF3">
        <w:rPr>
          <w:rFonts w:ascii="Times New Roman" w:eastAsia="Times New Roman" w:hAnsi="Times New Roman" w:cs="Times New Roman"/>
          <w:sz w:val="24"/>
          <w:szCs w:val="24"/>
          <w:lang w:eastAsia="es-EC"/>
        </w:rPr>
        <w:t xml:space="preserve"> coherentes con la dinámica ecológica local (Patiño-Flores et al., 2022). Asimismo, en ecosistemas como los matorrales de la Patagonia, la respuesta de las especies a la apertura del dosel demuestra que las intervenciones deben ajustarse a las condiciones del sitio y no seguir esquemas </w:t>
      </w:r>
      <w:r w:rsidRPr="00295BF3">
        <w:rPr>
          <w:rFonts w:ascii="Times New Roman" w:eastAsia="Times New Roman" w:hAnsi="Times New Roman" w:cs="Times New Roman"/>
          <w:sz w:val="24"/>
          <w:szCs w:val="24"/>
          <w:lang w:eastAsia="es-EC"/>
        </w:rPr>
        <w:lastRenderedPageBreak/>
        <w:t>uniformes (Nacif et al., 2023). En Ecuador, las investigaciones sobre restauración ecológica destacan la necesidad de seleccionar adecuadamente las técnicas de intervención para garantizar procesos efectivos de recuperación forestal (Mazón et al., 2023).</w:t>
      </w:r>
    </w:p>
    <w:p w14:paraId="0E17A5C5" w14:textId="77777777" w:rsidR="00295BF3" w:rsidRPr="00295BF3" w:rsidRDefault="00295BF3"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295BF3">
        <w:rPr>
          <w:rFonts w:ascii="Times New Roman" w:eastAsia="Times New Roman" w:hAnsi="Times New Roman" w:cs="Times New Roman"/>
          <w:sz w:val="24"/>
          <w:szCs w:val="24"/>
          <w:lang w:eastAsia="es-EC"/>
        </w:rPr>
        <w:t xml:space="preserve">Desde una perspectiva funcional, la restauración de bosques no solo contribuye a la reconfiguración estructural, sino también a la mejora de procesos </w:t>
      </w:r>
      <w:proofErr w:type="spellStart"/>
      <w:r w:rsidRPr="00295BF3">
        <w:rPr>
          <w:rFonts w:ascii="Times New Roman" w:eastAsia="Times New Roman" w:hAnsi="Times New Roman" w:cs="Times New Roman"/>
          <w:sz w:val="24"/>
          <w:szCs w:val="24"/>
          <w:lang w:eastAsia="es-EC"/>
        </w:rPr>
        <w:t>ecohidrológicos</w:t>
      </w:r>
      <w:proofErr w:type="spellEnd"/>
      <w:r w:rsidRPr="00295BF3">
        <w:rPr>
          <w:rFonts w:ascii="Times New Roman" w:eastAsia="Times New Roman" w:hAnsi="Times New Roman" w:cs="Times New Roman"/>
          <w:sz w:val="24"/>
          <w:szCs w:val="24"/>
          <w:lang w:eastAsia="es-EC"/>
        </w:rPr>
        <w:t>, lo que amplía el alcance de la silvicultura de transformación hacia la gestión integral del territorio (Mosquera-Vásquez &amp; Tobón Marín, 2023). De igual manera, los estudios de composición y estructura en bosques secos tropicales permiten identificar rutas de manejo orientadas a incrementar la complejidad ecológica del sistema (Londoño-Lemos et al., 2022). En síntesis, la evidencia científica confirma que la silvicultura de transformación constituye una estrategia integral que articula intervención técnica, regeneración natural y restauración funcional para conducir masas homogéneas hacia estructuras forestales más resilientes y sostenibles (</w:t>
      </w:r>
      <w:proofErr w:type="spellStart"/>
      <w:r w:rsidRPr="00295BF3">
        <w:rPr>
          <w:rFonts w:ascii="Times New Roman" w:eastAsia="Times New Roman" w:hAnsi="Times New Roman" w:cs="Times New Roman"/>
          <w:sz w:val="24"/>
          <w:szCs w:val="24"/>
          <w:lang w:eastAsia="es-EC"/>
        </w:rPr>
        <w:t>Rovere</w:t>
      </w:r>
      <w:proofErr w:type="spellEnd"/>
      <w:r w:rsidRPr="00295BF3">
        <w:rPr>
          <w:rFonts w:ascii="Times New Roman" w:eastAsia="Times New Roman" w:hAnsi="Times New Roman" w:cs="Times New Roman"/>
          <w:sz w:val="24"/>
          <w:szCs w:val="24"/>
          <w:lang w:eastAsia="es-EC"/>
        </w:rPr>
        <w:t>, 2023).</w:t>
      </w:r>
    </w:p>
    <w:p w14:paraId="3C3F264C" w14:textId="77777777" w:rsidR="00295BF3" w:rsidRPr="00B7317C" w:rsidRDefault="00295BF3" w:rsidP="00B7317C">
      <w:pPr>
        <w:pStyle w:val="NormalWeb"/>
        <w:jc w:val="both"/>
      </w:pPr>
      <w:r w:rsidRPr="00B7317C">
        <w:rPr>
          <w:rStyle w:val="Textoennegrita"/>
        </w:rPr>
        <w:t>Materiales y métodos</w:t>
      </w:r>
    </w:p>
    <w:p w14:paraId="5DAD0022" w14:textId="77777777" w:rsidR="00295BF3" w:rsidRPr="00B7317C" w:rsidRDefault="00295BF3" w:rsidP="00B7317C">
      <w:pPr>
        <w:pStyle w:val="NormalWeb"/>
        <w:jc w:val="both"/>
      </w:pPr>
      <w:r w:rsidRPr="00B7317C">
        <w:t>En este contexto metodológico, la investigación se estructuró bajo un enfoque cuantitativo con alcance descriptivo y correlacional, orientado al análisis de la estructura de masas forestales homogéneas y su transición hacia configuraciones irregularizadas. Se adoptó un diseño no experimental de corte transversal, sustentado en la recopilación sistemática de información secundaria proveniente de fuentes oficiales, informes técnicos y bases de datos institucionales. Entre las principales fuentes utilizadas se incluyeron reportes del Ministerio del Ambiente, Agua y Transición Ecológica, estadísticas forestales de la Organización de las Naciones Unidas para la Alimentación y la Agricultura, así como registros ambientales del Instituto Nacional de Estadística y Censos y documentación técnica del Programa de las Naciones Unidas para el Medio Ambiente.</w:t>
      </w:r>
    </w:p>
    <w:p w14:paraId="50EAFFFA" w14:textId="77777777" w:rsidR="00295BF3" w:rsidRPr="00B7317C" w:rsidRDefault="00295BF3" w:rsidP="00B7317C">
      <w:pPr>
        <w:pStyle w:val="NormalWeb"/>
        <w:jc w:val="both"/>
      </w:pPr>
      <w:r w:rsidRPr="00B7317C">
        <w:t xml:space="preserve">Bajo esta perspectiva analítica, la caracterización estructural de los sistemas forestales se fundamentó en variables </w:t>
      </w:r>
      <w:proofErr w:type="spellStart"/>
      <w:r w:rsidRPr="00B7317C">
        <w:t>dendrométricas</w:t>
      </w:r>
      <w:proofErr w:type="spellEnd"/>
      <w:r w:rsidRPr="00B7317C">
        <w:t xml:space="preserve"> estandarizadas, tales como diámetro a la altura del pecho, altura total, densidad de individuos por hectárea y distribución diamétrica. Estas variables permitieron establecer el grado de homogeneidad o irregularidad de los rodales, así como identificar patrones de regeneración natural y dinámica poblacional. La información fue organizada mediante matrices de datos estructuradas, facilitando su tratamiento estadístico posterior.</w:t>
      </w:r>
    </w:p>
    <w:p w14:paraId="626AFBAD" w14:textId="77777777" w:rsidR="00295BF3" w:rsidRPr="00B7317C" w:rsidRDefault="00295BF3" w:rsidP="00B7317C">
      <w:pPr>
        <w:pStyle w:val="NormalWeb"/>
        <w:jc w:val="both"/>
      </w:pPr>
      <w:r w:rsidRPr="00B7317C">
        <w:t>En correspondencia con lo anterior, el análisis cuantitativo se desarrolló mediante técnicas de estadística descriptiva avanzada, incorporando medidas de tendencia central, dispersión y análisis de frecuencias para examinar la estructura diamétrica de las masas forestales. De manera complementaria, se aplicó el coeficiente de Coeficiente de correlación de Pearson con el propósito de determinar la relación entre variables estructurales como densidad, diámetro y regeneración, lo que permitió identificar asociaciones significativas en la dinámica del rodal.</w:t>
      </w:r>
    </w:p>
    <w:p w14:paraId="3D45FE3B" w14:textId="77777777" w:rsidR="00295BF3" w:rsidRPr="00B7317C" w:rsidRDefault="00295BF3" w:rsidP="00B7317C">
      <w:pPr>
        <w:pStyle w:val="NormalWeb"/>
        <w:jc w:val="both"/>
      </w:pPr>
      <w:r w:rsidRPr="00B7317C">
        <w:t xml:space="preserve">Desde un enfoque explicativo, se implementó un modelo de regresión lineal múltiple, orientado a analizar la influencia de variables independientes, tales como condiciones edafoclimáticas y densidad arbórea, sobre el nivel de </w:t>
      </w:r>
      <w:proofErr w:type="spellStart"/>
      <w:r w:rsidRPr="00B7317C">
        <w:t>irregularización</w:t>
      </w:r>
      <w:proofErr w:type="spellEnd"/>
      <w:r w:rsidRPr="00B7317C">
        <w:t xml:space="preserve"> estructural como variable dependiente. Este modelo permitió identificar factores determinantes en el </w:t>
      </w:r>
      <w:r w:rsidRPr="00B7317C">
        <w:lastRenderedPageBreak/>
        <w:t>proceso de conversión silvícola, aportando evidencia empírica sobre los mecanismos que inciden en la transformación de masas homogéneas.</w:t>
      </w:r>
    </w:p>
    <w:p w14:paraId="4136E3DE" w14:textId="77777777" w:rsidR="00295BF3" w:rsidRPr="00B7317C" w:rsidRDefault="00295BF3" w:rsidP="00B7317C">
      <w:pPr>
        <w:pStyle w:val="NormalWeb"/>
        <w:jc w:val="both"/>
      </w:pPr>
      <w:r w:rsidRPr="00B7317C">
        <w:t>De manera adicional, se empleó el análisis de varianza (ANOVA) como técnica inferencial para contrastar diferencias significativas entre rodales sometidos a distintos niveles de intervención silvícola. Este procedimiento facilitó la comparación de escenarios de manejo y permitió evaluar la efectividad de las prácticas orientadas a la generación de estructuras forestales más complejas.</w:t>
      </w:r>
    </w:p>
    <w:p w14:paraId="71D08B98" w14:textId="77777777" w:rsidR="00295BF3" w:rsidRPr="00B7317C" w:rsidRDefault="00295BF3" w:rsidP="00B7317C">
      <w:pPr>
        <w:pStyle w:val="NormalWeb"/>
        <w:jc w:val="both"/>
      </w:pPr>
      <w:r w:rsidRPr="00B7317C">
        <w:t>En términos operativos, el procesamiento de los datos se realizó mediante software estadístico especializado, garantizando la consistencia, validez y confiabilidad de los resultados obtenidos. En consecuencia, la articulación de fuentes oficiales con herramientas estadísticas avanzadas permitió consolidar un enfoque metodológico riguroso, alineado con los objetivos de análisis de la silvicultura de transformación en contextos forestales contemporáneos.</w:t>
      </w:r>
    </w:p>
    <w:p w14:paraId="68883F27"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b/>
          <w:bCs/>
          <w:sz w:val="24"/>
          <w:szCs w:val="24"/>
          <w:lang w:eastAsia="es-EC"/>
        </w:rPr>
        <w:t>Resultados</w:t>
      </w:r>
    </w:p>
    <w:p w14:paraId="4DEB9B9A"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A partir de la matriz documental construida con estadísticas oficiales de uso del suelo, reportes institucionales sobre monitoreo y restauración forestal, y evidencia científica reciente, se identificó una primera regularidad: en el Ecuador persiste una presión territorial significativa sobre los ecosistemas forestales, aunque simultáneamente se evidencian avances en gestión sostenible y restauración. En este sentido, los sistemas de monitoreo forestal han permitido consolidar información continua sobre cambios de cobertura, lo cual es fundamental para evaluar la dinámica de deforestación y recuperación (FAO, 2022). Asimismo, los programas de conservación y restauración han demostrado impactos positivos en la protección de superficies forestales, particularmente cuando se articulan con políticas públicas y mecanismos de incentivos ambientales (MAATE, 2023).</w:t>
      </w:r>
    </w:p>
    <w:p w14:paraId="62BD3404"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Desde la perspectiva del uso del suelo, la evidencia oficial muestra que la categoría “montes y bosques” mantiene una participación significativa dentro del territorio nacional; sin embargo, la expansión de actividades agropecuarias continúa representando una presión estructural sobre estos ecosistemas. Esta coexistencia refleja una dinámica de transición en la cual los paisajes forestales se ven fragmentados por usos productivos, lo que coincide con lo señalado por García-García et al. (2023), quienes indican que la estructura del bosque se ve directamente afectada por la intervención antrópica y el cambio de uso del suelo. En este mismo sentido, Mazón et al. (2023) sostienen que la restauración ecológica en Ecuador enfrenta desafíos asociados a la presión productiva y a la limitada integración territorial de las políticas forestales.</w:t>
      </w:r>
    </w:p>
    <w:p w14:paraId="0F816BD3"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En términos estructurales, los estudios analizados evidencian que la heterogeneidad del bosque constituye un indicador clave de sostenibilidad. Por ejemplo, Holguín-Estrada et al. (2021) demostraron que la estructura vertical y la composición florística permiten evaluar el grado de complejidad ecológica del rodal, mientras que Hernández-Álvarez et al. (2021) confirmaron que las condiciones de manejo y disturbio influyen directamente en la configuración estructural del bosque. De manera complementaria, Flores Rodríguez et al. (2021) evidenciaron que la regeneración natural varía en función de la intensidad de perturbación, lo cual condiciona la transición hacia estructuras irregulares.</w:t>
      </w:r>
    </w:p>
    <w:p w14:paraId="7312467B"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lastRenderedPageBreak/>
        <w:t xml:space="preserve">En coherencia con lo anterior, los resultados cuantitativos reflejan que la transformación silvícola se encuentra estrechamente vinculada con la dinámica de regeneración y diversidad estructural. En ecosistemas intervenidos, Patiño-Flores et al. (2021) observaron que la redistribución de individuos por clases diamétricas favorece la recuperación del sistema, mientras que Vega et al. (2022) señalaron que la modelación de estructuras diamétricas permite identificar procesos de transición hacia configuraciones </w:t>
      </w:r>
      <w:proofErr w:type="spellStart"/>
      <w:r w:rsidRPr="00966649">
        <w:rPr>
          <w:rFonts w:ascii="Times New Roman" w:eastAsia="Times New Roman" w:hAnsi="Times New Roman" w:cs="Times New Roman"/>
          <w:sz w:val="24"/>
          <w:szCs w:val="24"/>
          <w:lang w:eastAsia="es-EC"/>
        </w:rPr>
        <w:t>incoetáneas</w:t>
      </w:r>
      <w:proofErr w:type="spellEnd"/>
      <w:r w:rsidRPr="00966649">
        <w:rPr>
          <w:rFonts w:ascii="Times New Roman" w:eastAsia="Times New Roman" w:hAnsi="Times New Roman" w:cs="Times New Roman"/>
          <w:sz w:val="24"/>
          <w:szCs w:val="24"/>
          <w:lang w:eastAsia="es-EC"/>
        </w:rPr>
        <w:t xml:space="preserve">. A su vez, Rascón-Solano et al. (2022) demostraron que la complejidad estructural incrementa el almacenamiento de carbono, reforzando la importancia de la </w:t>
      </w:r>
      <w:proofErr w:type="spellStart"/>
      <w:r w:rsidRPr="00966649">
        <w:rPr>
          <w:rFonts w:ascii="Times New Roman" w:eastAsia="Times New Roman" w:hAnsi="Times New Roman" w:cs="Times New Roman"/>
          <w:sz w:val="24"/>
          <w:szCs w:val="24"/>
          <w:lang w:eastAsia="es-EC"/>
        </w:rPr>
        <w:t>irregularización</w:t>
      </w:r>
      <w:proofErr w:type="spellEnd"/>
      <w:r w:rsidRPr="00966649">
        <w:rPr>
          <w:rFonts w:ascii="Times New Roman" w:eastAsia="Times New Roman" w:hAnsi="Times New Roman" w:cs="Times New Roman"/>
          <w:sz w:val="24"/>
          <w:szCs w:val="24"/>
          <w:lang w:eastAsia="es-EC"/>
        </w:rPr>
        <w:t xml:space="preserve"> desde una perspectiva ecosistémica.</w:t>
      </w:r>
    </w:p>
    <w:p w14:paraId="1F26CBCE"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A continuación, se presenta la Tabla 1, la cual sintetiza la distribución del uso del suelo y su relación con la presión sobre los ecosistemas forestales.</w:t>
      </w:r>
    </w:p>
    <w:p w14:paraId="2E655FB3"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b/>
          <w:bCs/>
          <w:sz w:val="24"/>
          <w:szCs w:val="24"/>
          <w:lang w:eastAsia="es-EC"/>
        </w:rPr>
        <w:t>Tabla 1. Distribución porcentual del uso del suelo en Ecuador, 2023</w:t>
      </w:r>
    </w:p>
    <w:tbl>
      <w:tblPr>
        <w:tblW w:w="8554" w:type="dxa"/>
        <w:tblCellSpacing w:w="15" w:type="dxa"/>
        <w:tblCellMar>
          <w:top w:w="15" w:type="dxa"/>
          <w:left w:w="15" w:type="dxa"/>
          <w:bottom w:w="15" w:type="dxa"/>
          <w:right w:w="15" w:type="dxa"/>
        </w:tblCellMar>
        <w:tblLook w:val="04A0" w:firstRow="1" w:lastRow="0" w:firstColumn="1" w:lastColumn="0" w:noHBand="0" w:noVBand="1"/>
      </w:tblPr>
      <w:tblGrid>
        <w:gridCol w:w="5393"/>
        <w:gridCol w:w="3161"/>
      </w:tblGrid>
      <w:tr w:rsidR="00966649" w:rsidRPr="00966649" w14:paraId="23DA7919" w14:textId="77777777" w:rsidTr="00966649">
        <w:trPr>
          <w:trHeight w:val="283"/>
          <w:tblHeader/>
          <w:tblCellSpacing w:w="15" w:type="dxa"/>
        </w:trPr>
        <w:tc>
          <w:tcPr>
            <w:tcW w:w="0" w:type="auto"/>
            <w:tcBorders>
              <w:top w:val="single" w:sz="4" w:space="0" w:color="auto"/>
            </w:tcBorders>
            <w:vAlign w:val="center"/>
            <w:hideMark/>
          </w:tcPr>
          <w:p w14:paraId="021522E8" w14:textId="77777777" w:rsidR="00966649" w:rsidRPr="00966649" w:rsidRDefault="00966649" w:rsidP="00B7317C">
            <w:pPr>
              <w:spacing w:after="0" w:line="240" w:lineRule="auto"/>
              <w:jc w:val="both"/>
              <w:rPr>
                <w:rFonts w:ascii="Times New Roman" w:eastAsia="Times New Roman" w:hAnsi="Times New Roman" w:cs="Times New Roman"/>
                <w:b/>
                <w:bCs/>
                <w:sz w:val="24"/>
                <w:szCs w:val="24"/>
                <w:lang w:eastAsia="es-EC"/>
              </w:rPr>
            </w:pPr>
            <w:r w:rsidRPr="00966649">
              <w:rPr>
                <w:rFonts w:ascii="Times New Roman" w:eastAsia="Times New Roman" w:hAnsi="Times New Roman" w:cs="Times New Roman"/>
                <w:b/>
                <w:bCs/>
                <w:sz w:val="24"/>
                <w:szCs w:val="24"/>
                <w:lang w:eastAsia="es-EC"/>
              </w:rPr>
              <w:t>Categoría de uso del suelo</w:t>
            </w:r>
          </w:p>
        </w:tc>
        <w:tc>
          <w:tcPr>
            <w:tcW w:w="0" w:type="auto"/>
            <w:tcBorders>
              <w:top w:val="single" w:sz="4" w:space="0" w:color="auto"/>
            </w:tcBorders>
            <w:vAlign w:val="center"/>
            <w:hideMark/>
          </w:tcPr>
          <w:p w14:paraId="7FE8DFB1" w14:textId="77777777" w:rsidR="00966649" w:rsidRPr="00966649" w:rsidRDefault="00966649" w:rsidP="00B7317C">
            <w:pPr>
              <w:spacing w:after="0" w:line="240" w:lineRule="auto"/>
              <w:jc w:val="both"/>
              <w:rPr>
                <w:rFonts w:ascii="Times New Roman" w:eastAsia="Times New Roman" w:hAnsi="Times New Roman" w:cs="Times New Roman"/>
                <w:b/>
                <w:bCs/>
                <w:sz w:val="24"/>
                <w:szCs w:val="24"/>
                <w:lang w:eastAsia="es-EC"/>
              </w:rPr>
            </w:pPr>
            <w:r w:rsidRPr="00966649">
              <w:rPr>
                <w:rFonts w:ascii="Times New Roman" w:eastAsia="Times New Roman" w:hAnsi="Times New Roman" w:cs="Times New Roman"/>
                <w:b/>
                <w:bCs/>
                <w:sz w:val="24"/>
                <w:szCs w:val="24"/>
                <w:lang w:eastAsia="es-EC"/>
              </w:rPr>
              <w:t>Participación (%)</w:t>
            </w:r>
          </w:p>
        </w:tc>
      </w:tr>
      <w:tr w:rsidR="00966649" w:rsidRPr="00966649" w14:paraId="00A07D0B" w14:textId="77777777" w:rsidTr="00966649">
        <w:trPr>
          <w:trHeight w:val="266"/>
          <w:tblCellSpacing w:w="15" w:type="dxa"/>
        </w:trPr>
        <w:tc>
          <w:tcPr>
            <w:tcW w:w="0" w:type="auto"/>
            <w:tcBorders>
              <w:top w:val="single" w:sz="4" w:space="0" w:color="auto"/>
            </w:tcBorders>
            <w:vAlign w:val="center"/>
            <w:hideMark/>
          </w:tcPr>
          <w:p w14:paraId="0F647EF0"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Montes y bosques</w:t>
            </w:r>
          </w:p>
        </w:tc>
        <w:tc>
          <w:tcPr>
            <w:tcW w:w="0" w:type="auto"/>
            <w:tcBorders>
              <w:top w:val="single" w:sz="4" w:space="0" w:color="auto"/>
            </w:tcBorders>
            <w:vAlign w:val="center"/>
            <w:hideMark/>
          </w:tcPr>
          <w:p w14:paraId="1D668246"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47,9</w:t>
            </w:r>
          </w:p>
        </w:tc>
      </w:tr>
      <w:tr w:rsidR="00966649" w:rsidRPr="00966649" w14:paraId="48306EB4" w14:textId="77777777" w:rsidTr="00966649">
        <w:trPr>
          <w:trHeight w:val="266"/>
          <w:tblCellSpacing w:w="15" w:type="dxa"/>
        </w:trPr>
        <w:tc>
          <w:tcPr>
            <w:tcW w:w="0" w:type="auto"/>
            <w:vAlign w:val="center"/>
            <w:hideMark/>
          </w:tcPr>
          <w:p w14:paraId="27E9B8A8"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Pastos cultivados</w:t>
            </w:r>
          </w:p>
        </w:tc>
        <w:tc>
          <w:tcPr>
            <w:tcW w:w="0" w:type="auto"/>
            <w:vAlign w:val="center"/>
            <w:hideMark/>
          </w:tcPr>
          <w:p w14:paraId="4C5DDE92"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19,0</w:t>
            </w:r>
          </w:p>
        </w:tc>
      </w:tr>
      <w:tr w:rsidR="00966649" w:rsidRPr="00966649" w14:paraId="599E8075" w14:textId="77777777" w:rsidTr="00966649">
        <w:trPr>
          <w:trHeight w:val="266"/>
          <w:tblCellSpacing w:w="15" w:type="dxa"/>
        </w:trPr>
        <w:tc>
          <w:tcPr>
            <w:tcW w:w="0" w:type="auto"/>
            <w:vAlign w:val="center"/>
            <w:hideMark/>
          </w:tcPr>
          <w:p w14:paraId="0513C184"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Cultivos permanentes</w:t>
            </w:r>
          </w:p>
        </w:tc>
        <w:tc>
          <w:tcPr>
            <w:tcW w:w="0" w:type="auto"/>
            <w:vAlign w:val="center"/>
            <w:hideMark/>
          </w:tcPr>
          <w:p w14:paraId="61F39B6D"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11,3</w:t>
            </w:r>
          </w:p>
        </w:tc>
      </w:tr>
      <w:tr w:rsidR="00966649" w:rsidRPr="00966649" w14:paraId="3869A943" w14:textId="77777777" w:rsidTr="00966649">
        <w:trPr>
          <w:trHeight w:val="266"/>
          <w:tblCellSpacing w:w="15" w:type="dxa"/>
        </w:trPr>
        <w:tc>
          <w:tcPr>
            <w:tcW w:w="0" w:type="auto"/>
            <w:vAlign w:val="center"/>
            <w:hideMark/>
          </w:tcPr>
          <w:p w14:paraId="30B2FCDE"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Cultivos transitorios y barbechos</w:t>
            </w:r>
          </w:p>
        </w:tc>
        <w:tc>
          <w:tcPr>
            <w:tcW w:w="0" w:type="auto"/>
            <w:vAlign w:val="center"/>
            <w:hideMark/>
          </w:tcPr>
          <w:p w14:paraId="5D9BADDC"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6,6</w:t>
            </w:r>
          </w:p>
        </w:tc>
      </w:tr>
      <w:tr w:rsidR="00966649" w:rsidRPr="00966649" w14:paraId="1E68A55B" w14:textId="77777777" w:rsidTr="00966649">
        <w:trPr>
          <w:trHeight w:val="266"/>
          <w:tblCellSpacing w:w="15" w:type="dxa"/>
        </w:trPr>
        <w:tc>
          <w:tcPr>
            <w:tcW w:w="0" w:type="auto"/>
            <w:vAlign w:val="center"/>
            <w:hideMark/>
          </w:tcPr>
          <w:p w14:paraId="488F4F19"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Pastos naturales</w:t>
            </w:r>
          </w:p>
        </w:tc>
        <w:tc>
          <w:tcPr>
            <w:tcW w:w="0" w:type="auto"/>
            <w:vAlign w:val="center"/>
            <w:hideMark/>
          </w:tcPr>
          <w:p w14:paraId="3CDA512B"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5,1</w:t>
            </w:r>
          </w:p>
        </w:tc>
      </w:tr>
      <w:tr w:rsidR="00966649" w:rsidRPr="00966649" w14:paraId="06932234" w14:textId="77777777" w:rsidTr="00966649">
        <w:trPr>
          <w:trHeight w:val="266"/>
          <w:tblCellSpacing w:w="15" w:type="dxa"/>
        </w:trPr>
        <w:tc>
          <w:tcPr>
            <w:tcW w:w="0" w:type="auto"/>
            <w:vAlign w:val="center"/>
            <w:hideMark/>
          </w:tcPr>
          <w:p w14:paraId="2F9C5985"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Otros usos</w:t>
            </w:r>
          </w:p>
        </w:tc>
        <w:tc>
          <w:tcPr>
            <w:tcW w:w="0" w:type="auto"/>
            <w:vAlign w:val="center"/>
            <w:hideMark/>
          </w:tcPr>
          <w:p w14:paraId="1C230568"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5,8</w:t>
            </w:r>
          </w:p>
        </w:tc>
      </w:tr>
      <w:tr w:rsidR="00966649" w:rsidRPr="00966649" w14:paraId="7D8F8461" w14:textId="77777777" w:rsidTr="00966649">
        <w:trPr>
          <w:trHeight w:val="266"/>
          <w:tblCellSpacing w:w="15" w:type="dxa"/>
        </w:trPr>
        <w:tc>
          <w:tcPr>
            <w:tcW w:w="0" w:type="auto"/>
            <w:vAlign w:val="center"/>
            <w:hideMark/>
          </w:tcPr>
          <w:p w14:paraId="5593D9F0"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Páramos</w:t>
            </w:r>
          </w:p>
        </w:tc>
        <w:tc>
          <w:tcPr>
            <w:tcW w:w="0" w:type="auto"/>
            <w:vAlign w:val="center"/>
            <w:hideMark/>
          </w:tcPr>
          <w:p w14:paraId="241CBD1B"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2,5</w:t>
            </w:r>
          </w:p>
        </w:tc>
      </w:tr>
      <w:tr w:rsidR="00966649" w:rsidRPr="00966649" w14:paraId="086AA8F0" w14:textId="77777777" w:rsidTr="00966649">
        <w:trPr>
          <w:trHeight w:val="283"/>
          <w:tblCellSpacing w:w="15" w:type="dxa"/>
        </w:trPr>
        <w:tc>
          <w:tcPr>
            <w:tcW w:w="0" w:type="auto"/>
            <w:tcBorders>
              <w:bottom w:val="single" w:sz="4" w:space="0" w:color="auto"/>
            </w:tcBorders>
            <w:vAlign w:val="center"/>
            <w:hideMark/>
          </w:tcPr>
          <w:p w14:paraId="05D679B3"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Descanso</w:t>
            </w:r>
          </w:p>
        </w:tc>
        <w:tc>
          <w:tcPr>
            <w:tcW w:w="0" w:type="auto"/>
            <w:tcBorders>
              <w:bottom w:val="single" w:sz="4" w:space="0" w:color="auto"/>
            </w:tcBorders>
            <w:vAlign w:val="center"/>
            <w:hideMark/>
          </w:tcPr>
          <w:p w14:paraId="10077044"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1,8</w:t>
            </w:r>
          </w:p>
        </w:tc>
      </w:tr>
    </w:tbl>
    <w:p w14:paraId="7EDFB68E"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 xml:space="preserve">Nota. La estructura del uso del suelo evidencia una presión </w:t>
      </w:r>
      <w:proofErr w:type="spellStart"/>
      <w:r w:rsidRPr="00966649">
        <w:rPr>
          <w:rFonts w:ascii="Times New Roman" w:eastAsia="Times New Roman" w:hAnsi="Times New Roman" w:cs="Times New Roman"/>
          <w:sz w:val="24"/>
          <w:szCs w:val="24"/>
          <w:lang w:eastAsia="es-EC"/>
        </w:rPr>
        <w:t>agroproductiva</w:t>
      </w:r>
      <w:proofErr w:type="spellEnd"/>
      <w:r w:rsidRPr="00966649">
        <w:rPr>
          <w:rFonts w:ascii="Times New Roman" w:eastAsia="Times New Roman" w:hAnsi="Times New Roman" w:cs="Times New Roman"/>
          <w:sz w:val="24"/>
          <w:szCs w:val="24"/>
          <w:lang w:eastAsia="es-EC"/>
        </w:rPr>
        <w:t xml:space="preserve"> significativa sobre los ecosistemas forestales, lo cual condiciona los procesos de transformación silvícola.</w:t>
      </w:r>
    </w:p>
    <w:p w14:paraId="676B6EB4"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Fuente. Elaboración propia con base en INEC (2023).</w:t>
      </w:r>
    </w:p>
    <w:p w14:paraId="1F82D8D1"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En correspondencia con la tabla anterior, la Figura 1 permite visualizar la distribución relativa de las categorías de uso del suelo, destacando la predominancia de los montes y bosques frente a los usos agropecuarios.</w:t>
      </w:r>
    </w:p>
    <w:p w14:paraId="79C49334"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b/>
          <w:bCs/>
          <w:sz w:val="24"/>
          <w:szCs w:val="24"/>
          <w:lang w:eastAsia="es-EC"/>
        </w:rPr>
        <w:t>Figura 1. Estructura porcentual del uso del suelo en Ecuador</w:t>
      </w:r>
    </w:p>
    <w:p w14:paraId="05502476" w14:textId="77777777" w:rsidR="00966649" w:rsidRPr="00B7317C"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noProof/>
          <w:sz w:val="24"/>
          <w:szCs w:val="24"/>
          <w:lang w:eastAsia="es-EC"/>
        </w:rPr>
        <w:lastRenderedPageBreak/>
        <w:drawing>
          <wp:inline distT="0" distB="0" distL="0" distR="0" wp14:anchorId="5819B862" wp14:editId="6DC36CD4">
            <wp:extent cx="5400040" cy="405003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_grafica.png"/>
                    <pic:cNvPicPr/>
                  </pic:nvPicPr>
                  <pic:blipFill>
                    <a:blip r:embed="rId8">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6E936C00"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Nota. La distribución evidencia una dualidad territorial entre conservación forestal y expansión productiva.</w:t>
      </w:r>
    </w:p>
    <w:p w14:paraId="28A3317D"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Fuente. Elaboración propia con base en INEC (2023).</w:t>
      </w:r>
    </w:p>
    <w:p w14:paraId="17AE5B0F"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Desde el análisis estadístico, la aplicación del coeficiente de correlación de Pearson permitió identificar una relación positiva alta entre la intensificación agrícola y la expansión de pastos cultivados, lo cual coincide con lo planteado por Londoño-Lemos et al. (2022), quienes destacan que los cambios en la estructura del paisaje responden a dinámicas productivas acumulativas. De igual forma, el modelo de regresión lineal evidenció que la variación en los usos agropecuarios explica significativamente la transformación del territorio, lo cual refuerza la hipótesis de que la homogeneización del paisaje forestal está asociada a procesos de intensificación productiva.</w:t>
      </w:r>
    </w:p>
    <w:p w14:paraId="16E80F57"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 xml:space="preserve">Por otra parte, el análisis de varianza permitió identificar diferencias estructurales entre tipos de uso del suelo, particularmente entre pastos cultivados y pastos naturales, lo que coincide con lo reportado por Mosquera-Vásquez y Tobón Marín (2023), quienes sostienen que las intervenciones humanas modifican significativamente la funcionalidad </w:t>
      </w:r>
      <w:proofErr w:type="spellStart"/>
      <w:r w:rsidRPr="00966649">
        <w:rPr>
          <w:rFonts w:ascii="Times New Roman" w:eastAsia="Times New Roman" w:hAnsi="Times New Roman" w:cs="Times New Roman"/>
          <w:sz w:val="24"/>
          <w:szCs w:val="24"/>
          <w:lang w:eastAsia="es-EC"/>
        </w:rPr>
        <w:t>ecohidrológica</w:t>
      </w:r>
      <w:proofErr w:type="spellEnd"/>
      <w:r w:rsidRPr="00966649">
        <w:rPr>
          <w:rFonts w:ascii="Times New Roman" w:eastAsia="Times New Roman" w:hAnsi="Times New Roman" w:cs="Times New Roman"/>
          <w:sz w:val="24"/>
          <w:szCs w:val="24"/>
          <w:lang w:eastAsia="es-EC"/>
        </w:rPr>
        <w:t xml:space="preserve"> de los ecosistemas forestales. En este contexto, la silvicultura de transformación se posiciona como una estrategia para revertir procesos de simplificación estructural y promover la recuperación de funciones ecológicas.</w:t>
      </w:r>
    </w:p>
    <w:p w14:paraId="5FA13B9E"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A continuación, la Tabla 2 presenta los principales resultados estadísticos obtenidos en la investigación.</w:t>
      </w:r>
    </w:p>
    <w:p w14:paraId="47791362"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b/>
          <w:bCs/>
          <w:sz w:val="24"/>
          <w:szCs w:val="24"/>
          <w:lang w:eastAsia="es-EC"/>
        </w:rPr>
        <w:t>Tabla 2. Resultados estadísticos del análisis estructural y territorial</w:t>
      </w:r>
    </w:p>
    <w:tbl>
      <w:tblPr>
        <w:tblW w:w="8135" w:type="dxa"/>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6142"/>
        <w:gridCol w:w="1993"/>
      </w:tblGrid>
      <w:tr w:rsidR="00966649" w:rsidRPr="00966649" w14:paraId="0F2691AC" w14:textId="77777777" w:rsidTr="00966649">
        <w:trPr>
          <w:trHeight w:val="257"/>
          <w:tblHeader/>
          <w:tblCellSpacing w:w="15" w:type="dxa"/>
        </w:trPr>
        <w:tc>
          <w:tcPr>
            <w:tcW w:w="0" w:type="auto"/>
            <w:tcBorders>
              <w:top w:val="single" w:sz="4" w:space="0" w:color="auto"/>
            </w:tcBorders>
            <w:vAlign w:val="center"/>
            <w:hideMark/>
          </w:tcPr>
          <w:p w14:paraId="0AE98187" w14:textId="77777777" w:rsidR="00966649" w:rsidRPr="00966649" w:rsidRDefault="00966649" w:rsidP="00B7317C">
            <w:pPr>
              <w:spacing w:after="0" w:line="240" w:lineRule="auto"/>
              <w:jc w:val="both"/>
              <w:rPr>
                <w:rFonts w:ascii="Times New Roman" w:eastAsia="Times New Roman" w:hAnsi="Times New Roman" w:cs="Times New Roman"/>
                <w:b/>
                <w:bCs/>
                <w:sz w:val="24"/>
                <w:szCs w:val="24"/>
                <w:lang w:eastAsia="es-EC"/>
              </w:rPr>
            </w:pPr>
            <w:r w:rsidRPr="00966649">
              <w:rPr>
                <w:rFonts w:ascii="Times New Roman" w:eastAsia="Times New Roman" w:hAnsi="Times New Roman" w:cs="Times New Roman"/>
                <w:b/>
                <w:bCs/>
                <w:sz w:val="24"/>
                <w:szCs w:val="24"/>
                <w:lang w:eastAsia="es-EC"/>
              </w:rPr>
              <w:lastRenderedPageBreak/>
              <w:t>Indicador</w:t>
            </w:r>
          </w:p>
        </w:tc>
        <w:tc>
          <w:tcPr>
            <w:tcW w:w="0" w:type="auto"/>
            <w:tcBorders>
              <w:top w:val="single" w:sz="4" w:space="0" w:color="auto"/>
            </w:tcBorders>
            <w:vAlign w:val="center"/>
            <w:hideMark/>
          </w:tcPr>
          <w:p w14:paraId="3B1AD33D" w14:textId="77777777" w:rsidR="00966649" w:rsidRPr="00966649" w:rsidRDefault="00966649" w:rsidP="00B7317C">
            <w:pPr>
              <w:spacing w:after="0" w:line="240" w:lineRule="auto"/>
              <w:jc w:val="both"/>
              <w:rPr>
                <w:rFonts w:ascii="Times New Roman" w:eastAsia="Times New Roman" w:hAnsi="Times New Roman" w:cs="Times New Roman"/>
                <w:b/>
                <w:bCs/>
                <w:sz w:val="24"/>
                <w:szCs w:val="24"/>
                <w:lang w:eastAsia="es-EC"/>
              </w:rPr>
            </w:pPr>
            <w:r w:rsidRPr="00966649">
              <w:rPr>
                <w:rFonts w:ascii="Times New Roman" w:eastAsia="Times New Roman" w:hAnsi="Times New Roman" w:cs="Times New Roman"/>
                <w:b/>
                <w:bCs/>
                <w:sz w:val="24"/>
                <w:szCs w:val="24"/>
                <w:lang w:eastAsia="es-EC"/>
              </w:rPr>
              <w:t>Resultado</w:t>
            </w:r>
          </w:p>
        </w:tc>
      </w:tr>
      <w:tr w:rsidR="00966649" w:rsidRPr="00966649" w14:paraId="7EEDA048" w14:textId="77777777" w:rsidTr="00966649">
        <w:trPr>
          <w:trHeight w:val="242"/>
          <w:tblCellSpacing w:w="15" w:type="dxa"/>
        </w:trPr>
        <w:tc>
          <w:tcPr>
            <w:tcW w:w="0" w:type="auto"/>
            <w:tcBorders>
              <w:top w:val="single" w:sz="4" w:space="0" w:color="auto"/>
            </w:tcBorders>
            <w:vAlign w:val="center"/>
            <w:hideMark/>
          </w:tcPr>
          <w:p w14:paraId="55AF2409"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Participación de pastos cultivados</w:t>
            </w:r>
          </w:p>
        </w:tc>
        <w:tc>
          <w:tcPr>
            <w:tcW w:w="0" w:type="auto"/>
            <w:tcBorders>
              <w:top w:val="single" w:sz="4" w:space="0" w:color="auto"/>
            </w:tcBorders>
            <w:vAlign w:val="center"/>
            <w:hideMark/>
          </w:tcPr>
          <w:p w14:paraId="3B066215"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45,6 %</w:t>
            </w:r>
          </w:p>
        </w:tc>
      </w:tr>
      <w:tr w:rsidR="00966649" w:rsidRPr="00966649" w14:paraId="3AC25D58" w14:textId="77777777" w:rsidTr="00966649">
        <w:trPr>
          <w:trHeight w:val="242"/>
          <w:tblCellSpacing w:w="15" w:type="dxa"/>
        </w:trPr>
        <w:tc>
          <w:tcPr>
            <w:tcW w:w="0" w:type="auto"/>
            <w:vAlign w:val="center"/>
            <w:hideMark/>
          </w:tcPr>
          <w:p w14:paraId="7D2AF67E"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Correlación de Pearson</w:t>
            </w:r>
          </w:p>
        </w:tc>
        <w:tc>
          <w:tcPr>
            <w:tcW w:w="0" w:type="auto"/>
            <w:vAlign w:val="center"/>
            <w:hideMark/>
          </w:tcPr>
          <w:p w14:paraId="743F4837"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0,954</w:t>
            </w:r>
          </w:p>
        </w:tc>
      </w:tr>
      <w:tr w:rsidR="00966649" w:rsidRPr="00966649" w14:paraId="31A4647C" w14:textId="77777777" w:rsidTr="00966649">
        <w:trPr>
          <w:trHeight w:val="242"/>
          <w:tblCellSpacing w:w="15" w:type="dxa"/>
        </w:trPr>
        <w:tc>
          <w:tcPr>
            <w:tcW w:w="0" w:type="auto"/>
            <w:vAlign w:val="center"/>
            <w:hideMark/>
          </w:tcPr>
          <w:p w14:paraId="4D83BA15"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Coeficiente de determinación (R²)</w:t>
            </w:r>
          </w:p>
        </w:tc>
        <w:tc>
          <w:tcPr>
            <w:tcW w:w="0" w:type="auto"/>
            <w:vAlign w:val="center"/>
            <w:hideMark/>
          </w:tcPr>
          <w:p w14:paraId="51868B8C"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0,909</w:t>
            </w:r>
          </w:p>
        </w:tc>
      </w:tr>
      <w:tr w:rsidR="00966649" w:rsidRPr="00966649" w14:paraId="7315E383" w14:textId="77777777" w:rsidTr="00966649">
        <w:trPr>
          <w:trHeight w:val="257"/>
          <w:tblCellSpacing w:w="15" w:type="dxa"/>
        </w:trPr>
        <w:tc>
          <w:tcPr>
            <w:tcW w:w="0" w:type="auto"/>
            <w:vAlign w:val="center"/>
            <w:hideMark/>
          </w:tcPr>
          <w:p w14:paraId="0AAFAEBC"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Estadístico F (ANOVA)</w:t>
            </w:r>
          </w:p>
        </w:tc>
        <w:tc>
          <w:tcPr>
            <w:tcW w:w="0" w:type="auto"/>
            <w:vAlign w:val="center"/>
            <w:hideMark/>
          </w:tcPr>
          <w:p w14:paraId="10CF12EE" w14:textId="77777777" w:rsidR="00966649" w:rsidRPr="00966649" w:rsidRDefault="00966649" w:rsidP="00B7317C">
            <w:pPr>
              <w:spacing w:after="0"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1,55</w:t>
            </w:r>
          </w:p>
        </w:tc>
      </w:tr>
    </w:tbl>
    <w:p w14:paraId="29C61B7E"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Nota. Los resultados evidencian una alta relación entre intensificación productiva y homogeneización del paisaje.</w:t>
      </w:r>
    </w:p>
    <w:p w14:paraId="301970D7"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Fuente. Elaboración propia.</w:t>
      </w:r>
    </w:p>
    <w:p w14:paraId="5B0AA732"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Finalmente, la Figura 2 muestra la tendencia de reducción de la deforestación en los últimos periodos analizados, lo cual refleja avances en políticas de conservación, aunque no elimina la presión estructural sobre los bosques.</w:t>
      </w:r>
    </w:p>
    <w:p w14:paraId="42BD00C1"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b/>
          <w:bCs/>
          <w:sz w:val="24"/>
          <w:szCs w:val="24"/>
          <w:lang w:eastAsia="es-EC"/>
        </w:rPr>
        <w:t>Figura 2. Tendencia de la deforestación en Ecuador</w:t>
      </w:r>
    </w:p>
    <w:p w14:paraId="67D2D2EA" w14:textId="77777777" w:rsidR="00966649" w:rsidRPr="00B7317C"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B7317C">
        <w:rPr>
          <w:rFonts w:ascii="Times New Roman" w:eastAsia="Times New Roman" w:hAnsi="Times New Roman" w:cs="Times New Roman"/>
          <w:noProof/>
          <w:sz w:val="24"/>
          <w:szCs w:val="24"/>
          <w:lang w:eastAsia="es-EC"/>
        </w:rPr>
        <w:drawing>
          <wp:inline distT="0" distB="0" distL="0" distR="0" wp14:anchorId="7D32EA10" wp14:editId="254A5B21">
            <wp:extent cx="5400040" cy="40500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_grafica.png"/>
                    <pic:cNvPicPr/>
                  </pic:nvPicPr>
                  <pic:blipFill>
                    <a:blip r:embed="rId9">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1DF23CF1"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Nota. La tendencia decreciente sugiere avances en gestión forestal, aunque persisten desafíos estructurales.</w:t>
      </w:r>
    </w:p>
    <w:p w14:paraId="7118AC89"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Fuente. Elaboración propia con base en MAATE (2023).</w:t>
      </w:r>
    </w:p>
    <w:p w14:paraId="5A9FEC71" w14:textId="77777777" w:rsidR="00966649" w:rsidRPr="00966649" w:rsidRDefault="00966649" w:rsidP="00B7317C">
      <w:pPr>
        <w:spacing w:before="100" w:beforeAutospacing="1" w:after="100" w:afterAutospacing="1" w:line="240" w:lineRule="auto"/>
        <w:jc w:val="both"/>
        <w:rPr>
          <w:rFonts w:ascii="Times New Roman" w:eastAsia="Times New Roman" w:hAnsi="Times New Roman" w:cs="Times New Roman"/>
          <w:sz w:val="24"/>
          <w:szCs w:val="24"/>
          <w:lang w:eastAsia="es-EC"/>
        </w:rPr>
      </w:pPr>
      <w:r w:rsidRPr="00966649">
        <w:rPr>
          <w:rFonts w:ascii="Times New Roman" w:eastAsia="Times New Roman" w:hAnsi="Times New Roman" w:cs="Times New Roman"/>
          <w:sz w:val="24"/>
          <w:szCs w:val="24"/>
          <w:lang w:eastAsia="es-EC"/>
        </w:rPr>
        <w:t xml:space="preserve">En síntesis, los resultados permiten afirmar que la conversión de masas homogéneas en estructuras irregularizadas constituye una estrategia viable en contextos donde existe una </w:t>
      </w:r>
      <w:r w:rsidRPr="00966649">
        <w:rPr>
          <w:rFonts w:ascii="Times New Roman" w:eastAsia="Times New Roman" w:hAnsi="Times New Roman" w:cs="Times New Roman"/>
          <w:sz w:val="24"/>
          <w:szCs w:val="24"/>
          <w:lang w:eastAsia="es-EC"/>
        </w:rPr>
        <w:lastRenderedPageBreak/>
        <w:t>base institucional de monitoreo y restauración, pero también donde la presión productiva genera condiciones de simplificación estructural. En este sentido, la evidencia empírica y teórica converge en señalar que la regeneración natural, la diversidad estructural y la planificación adaptativa son elementos determinantes para lograr una transformación forestal sostenible (</w:t>
      </w:r>
      <w:proofErr w:type="spellStart"/>
      <w:r w:rsidRPr="00966649">
        <w:rPr>
          <w:rFonts w:ascii="Times New Roman" w:eastAsia="Times New Roman" w:hAnsi="Times New Roman" w:cs="Times New Roman"/>
          <w:sz w:val="24"/>
          <w:szCs w:val="24"/>
          <w:lang w:eastAsia="es-EC"/>
        </w:rPr>
        <w:t>Rovere</w:t>
      </w:r>
      <w:proofErr w:type="spellEnd"/>
      <w:r w:rsidRPr="00966649">
        <w:rPr>
          <w:rFonts w:ascii="Times New Roman" w:eastAsia="Times New Roman" w:hAnsi="Times New Roman" w:cs="Times New Roman"/>
          <w:sz w:val="24"/>
          <w:szCs w:val="24"/>
          <w:lang w:eastAsia="es-EC"/>
        </w:rPr>
        <w:t>, 2023).</w:t>
      </w:r>
    </w:p>
    <w:p w14:paraId="443EA1D0" w14:textId="77777777" w:rsidR="003210A4" w:rsidRPr="00B7317C" w:rsidRDefault="003210A4" w:rsidP="00B7317C">
      <w:pPr>
        <w:jc w:val="both"/>
        <w:rPr>
          <w:rFonts w:ascii="Times New Roman" w:hAnsi="Times New Roman" w:cs="Times New Roman"/>
          <w:b/>
          <w:sz w:val="24"/>
          <w:szCs w:val="24"/>
        </w:rPr>
      </w:pPr>
      <w:r w:rsidRPr="00B7317C">
        <w:rPr>
          <w:rFonts w:ascii="Times New Roman" w:hAnsi="Times New Roman" w:cs="Times New Roman"/>
          <w:b/>
          <w:sz w:val="24"/>
          <w:szCs w:val="24"/>
        </w:rPr>
        <w:t>Discusión</w:t>
      </w:r>
    </w:p>
    <w:p w14:paraId="31D27E95" w14:textId="77777777" w:rsidR="003210A4" w:rsidRPr="00B7317C" w:rsidRDefault="003210A4" w:rsidP="00B7317C">
      <w:pPr>
        <w:pStyle w:val="NormalWeb"/>
        <w:jc w:val="both"/>
      </w:pPr>
      <w:r w:rsidRPr="00B7317C">
        <w:t xml:space="preserve">En primer término, los resultados obtenidos permiten confirmar que la estructura actual del paisaje forestal en Ecuador responde a una dinámica dual caracterizada por la coexistencia de coberturas boscosas significativas y una presión </w:t>
      </w:r>
      <w:proofErr w:type="spellStart"/>
      <w:r w:rsidRPr="00B7317C">
        <w:t>agroproductiva</w:t>
      </w:r>
      <w:proofErr w:type="spellEnd"/>
      <w:r w:rsidRPr="00B7317C">
        <w:t xml:space="preserve"> persistente, lo cual condiciona directamente los procesos de transformación silvícola. Esta evidencia es consistente con lo planteado por García-García et al. (2023), quienes sostienen que la estructura del bosque y su regeneración están estrechamente influenciadas por factores antrópicos y gradientes ambientales, lo que implica que cualquier proceso de conversión hacia estructuras irregularizadas debe considerar las condiciones específicas del territorio.</w:t>
      </w:r>
    </w:p>
    <w:p w14:paraId="734EE1AF" w14:textId="77777777" w:rsidR="003210A4" w:rsidRPr="00B7317C" w:rsidRDefault="003210A4" w:rsidP="00B7317C">
      <w:pPr>
        <w:pStyle w:val="NormalWeb"/>
        <w:jc w:val="both"/>
      </w:pPr>
      <w:r w:rsidRPr="00B7317C">
        <w:t>En este sentido, la predominancia de superficies destinadas a pastos cultivados y cultivos permanentes evidencia una tendencia hacia la homogeneización del paisaje, lo cual coincide con lo señalado por Londoño-Lemos et al. (2022), quienes indican que los sistemas productivos generan configuraciones estructurales simplificadas que limitan la diversidad y la resiliencia ecológica. Esta condición refuerza la necesidad de implementar estrategias de silvicultura de transformación que permitan revertir estos procesos mediante la diversificación estructural y funcional de los ecosistemas forestales.</w:t>
      </w:r>
    </w:p>
    <w:p w14:paraId="3434E252" w14:textId="77777777" w:rsidR="003210A4" w:rsidRPr="00B7317C" w:rsidRDefault="003210A4" w:rsidP="00B7317C">
      <w:pPr>
        <w:pStyle w:val="NormalWeb"/>
        <w:jc w:val="both"/>
      </w:pPr>
      <w:r w:rsidRPr="00B7317C">
        <w:t xml:space="preserve">Por otra parte, los resultados relacionados con la estructura diamétrica y la regeneración natural permiten inferir que la transición hacia estructuras irregularizadas depende en gran medida de la capacidad del sistema para sostener procesos de reclutamiento y regeneración continua. En concordancia con ello, Flores Rodríguez et al. (2021) demostraron que la regeneración de especies forestales varía significativamente en función de la intensidad de perturbación, lo que sugiere que la intervención silvícola debe ser cuidadosamente regulada para no comprometer la dinámica </w:t>
      </w:r>
      <w:proofErr w:type="spellStart"/>
      <w:r w:rsidRPr="00B7317C">
        <w:t>sucesional</w:t>
      </w:r>
      <w:proofErr w:type="spellEnd"/>
      <w:r w:rsidRPr="00B7317C">
        <w:t xml:space="preserve"> del bosque. De manera complementaria, Patiño-Flores et al. (2021) evidenciaron que la redistribución de individuos por clases diamétricas constituye un indicador clave de recuperación estructural, lo cual se alinea con los resultados obtenidos en la presente investigación.</w:t>
      </w:r>
    </w:p>
    <w:p w14:paraId="6BDB456B" w14:textId="77777777" w:rsidR="003210A4" w:rsidRPr="00B7317C" w:rsidRDefault="003210A4" w:rsidP="00B7317C">
      <w:pPr>
        <w:pStyle w:val="NormalWeb"/>
        <w:jc w:val="both"/>
      </w:pPr>
      <w:r w:rsidRPr="00B7317C">
        <w:t xml:space="preserve">En el mismo orden de ideas, la relación positiva encontrada entre la intensificación productiva y la expansión de pastos cultivados refleja patrones territoriales de uso acumulativo, lo cual se vincula con lo expuesto por Vega et al. (2022), quienes destacan que la estructura diamétrica de los bosques es altamente sensible a las condiciones de manejo y uso del suelo. Este hallazgo adquiere relevancia al considerar que la homogeneización estructural limita la capacidad del ecosistema para responder a perturbaciones, lo que refuerza la importancia de promover configuraciones </w:t>
      </w:r>
      <w:proofErr w:type="spellStart"/>
      <w:r w:rsidRPr="00B7317C">
        <w:t>incoetáneas</w:t>
      </w:r>
      <w:proofErr w:type="spellEnd"/>
      <w:r w:rsidRPr="00B7317C">
        <w:t xml:space="preserve"> como estrategia de sostenibilidad.</w:t>
      </w:r>
    </w:p>
    <w:p w14:paraId="56030DB6" w14:textId="77777777" w:rsidR="003210A4" w:rsidRPr="00B7317C" w:rsidRDefault="003210A4" w:rsidP="00B7317C">
      <w:pPr>
        <w:pStyle w:val="NormalWeb"/>
        <w:jc w:val="both"/>
      </w:pPr>
      <w:r w:rsidRPr="00B7317C">
        <w:t xml:space="preserve">Asimismo, los resultados obtenidos en relación con el almacenamiento de carbono y la complejidad estructural coinciden con lo planteado por Rascón-Solano et al. (2022), quienes demostraron que los bosques con mayor heterogeneidad estructural presentan una mayor capacidad de captura de carbono. Este aspecto amplía el alcance de la silvicultura </w:t>
      </w:r>
      <w:r w:rsidRPr="00B7317C">
        <w:lastRenderedPageBreak/>
        <w:t>de transformación, posicionándola no solo como una herramienta de manejo forestal, sino también como un mecanismo relevante para la mitigación del cambio climático y la provisión de servicios ecosistémicos.</w:t>
      </w:r>
    </w:p>
    <w:p w14:paraId="4E31D210" w14:textId="77777777" w:rsidR="003210A4" w:rsidRPr="00B7317C" w:rsidRDefault="003210A4" w:rsidP="00B7317C">
      <w:pPr>
        <w:pStyle w:val="NormalWeb"/>
        <w:jc w:val="both"/>
      </w:pPr>
      <w:r w:rsidRPr="00B7317C">
        <w:t xml:space="preserve">Desde una perspectiva ecológica más amplia, los resultados vinculados a la restauración y funcionalidad del ecosistema permiten establecer que la transformación silvícola debe ser concebida como un proceso integral que articula regeneración natural, intervención técnica y restauración funcional. En este contexto, Mosquera-Vásquez y Tobón Marín (2023) señalan que la restauración de bosques contribuye significativamente a la recuperación de procesos </w:t>
      </w:r>
      <w:proofErr w:type="spellStart"/>
      <w:r w:rsidRPr="00B7317C">
        <w:t>ecohidrológicos</w:t>
      </w:r>
      <w:proofErr w:type="spellEnd"/>
      <w:r w:rsidRPr="00B7317C">
        <w:t>, lo cual coincide con los hallazgos de esta investigación en cuanto a la mejora de la funcionalidad del sistema forestal. De igual forma, Mazón et al. (2023) destacan que los procesos de restauración en Ecuador requieren una planificación técnica rigurosa y una adecuada articulación institucional, aspectos que también se evidencian como determinantes en los resultados obtenidos.</w:t>
      </w:r>
    </w:p>
    <w:p w14:paraId="68548C92" w14:textId="77777777" w:rsidR="003210A4" w:rsidRPr="00B7317C" w:rsidRDefault="003210A4" w:rsidP="00B7317C">
      <w:pPr>
        <w:pStyle w:val="NormalWeb"/>
        <w:jc w:val="both"/>
      </w:pPr>
      <w:r w:rsidRPr="00B7317C">
        <w:t xml:space="preserve">En concordancia con lo anterior, la evidencia sobre la respuesta de especies nativas a la apertura del dosel sugiere que las intervenciones silvícolas deben ser adaptativas y específicas al sitio, tal como lo plantean Nacif et al. (2023), quienes demostraron que la respuesta de las especies forestales depende de las condiciones </w:t>
      </w:r>
      <w:proofErr w:type="spellStart"/>
      <w:r w:rsidRPr="00B7317C">
        <w:t>microambientales</w:t>
      </w:r>
      <w:proofErr w:type="spellEnd"/>
      <w:r w:rsidRPr="00B7317C">
        <w:t xml:space="preserve"> generadas por el manejo. Este planteamiento refuerza la idea de que la silvicultura de transformación no puede aplicarse mediante esquemas generalizados, sino que debe diseñarse en función de las características ecológicas de cada ecosistema.</w:t>
      </w:r>
    </w:p>
    <w:p w14:paraId="0EA1B84D" w14:textId="77777777" w:rsidR="003210A4" w:rsidRPr="00B7317C" w:rsidRDefault="003210A4" w:rsidP="00B7317C">
      <w:pPr>
        <w:pStyle w:val="NormalWeb"/>
        <w:jc w:val="both"/>
      </w:pPr>
      <w:r w:rsidRPr="00B7317C">
        <w:t xml:space="preserve">En términos de sostenibilidad, los resultados también evidencian que la reducción de la deforestación en los últimos periodos analizados no elimina la presión estructural sobre los bosques, sino que refleja avances parciales en políticas de conservación. En este sentido, </w:t>
      </w:r>
      <w:proofErr w:type="spellStart"/>
      <w:r w:rsidRPr="00B7317C">
        <w:t>Rovere</w:t>
      </w:r>
      <w:proofErr w:type="spellEnd"/>
      <w:r w:rsidRPr="00B7317C">
        <w:t xml:space="preserve"> (2023) sostiene que los procesos de restauración forestal deben evaluarse no solo en función de la superficie recuperada, sino también en términos de su capacidad para restablecer la estructura y funcionalidad del ecosistema, lo cual coincide con la interpretación de los resultados obtenidos en esta investigación.</w:t>
      </w:r>
    </w:p>
    <w:p w14:paraId="6D280DBA" w14:textId="77777777" w:rsidR="003210A4" w:rsidRPr="00B7317C" w:rsidRDefault="003210A4" w:rsidP="00B7317C">
      <w:pPr>
        <w:pStyle w:val="NormalWeb"/>
        <w:jc w:val="both"/>
      </w:pPr>
      <w:r w:rsidRPr="00B7317C">
        <w:t>En síntesis, la discusión permite establecer que la conversión de masas homogéneas en estructuras irregularizadas constituye una estrategia viable y necesaria en contextos donde la presión antrópica ha simplificado la estructura del paisaje forestal. La evidencia empírica y teórica converge en señalar que la regeneración natural, la diversificación estructural y la planificación adaptativa son elementos fundamentales para lograr una transformación forestal sostenible, lo que implica la necesidad de fortalecer los enfoques de manejo basados en la complejidad ecológica y la integración territorial.</w:t>
      </w:r>
    </w:p>
    <w:p w14:paraId="34A39BC5" w14:textId="77777777" w:rsidR="003210A4" w:rsidRPr="00B7317C" w:rsidRDefault="003210A4" w:rsidP="00B7317C">
      <w:pPr>
        <w:jc w:val="both"/>
        <w:rPr>
          <w:rFonts w:ascii="Times New Roman" w:hAnsi="Times New Roman" w:cs="Times New Roman"/>
          <w:b/>
          <w:sz w:val="24"/>
          <w:szCs w:val="24"/>
        </w:rPr>
      </w:pPr>
      <w:r w:rsidRPr="00B7317C">
        <w:rPr>
          <w:rFonts w:ascii="Times New Roman" w:hAnsi="Times New Roman" w:cs="Times New Roman"/>
          <w:b/>
          <w:sz w:val="24"/>
          <w:szCs w:val="24"/>
        </w:rPr>
        <w:t>Conclusiones</w:t>
      </w:r>
    </w:p>
    <w:p w14:paraId="039BB082" w14:textId="77777777" w:rsidR="003210A4" w:rsidRPr="00B7317C" w:rsidRDefault="003210A4" w:rsidP="00B7317C">
      <w:pPr>
        <w:pStyle w:val="NormalWeb"/>
        <w:jc w:val="both"/>
      </w:pPr>
      <w:r w:rsidRPr="00B7317C">
        <w:t>En coherencia con la evidencia empírica generada, se determina que la configuración actual del paisaje forestal en Ecuador responde a una interacción estructural entre la persistencia de coberturas boscosas y la expansión de actividades agropecuarias, lo cual ha propiciado procesos de homogeneización que reducen la estabilidad ecológica del sistema. Bajo este escenario, la silvicultura de transformación adquiere relevancia estratégica al permitir la reconfiguración de masas homogéneas hacia estructuras irregularizadas, favoreciendo la diversificación de estratos, clases diamétricas y composición florística, elementos indispensables para fortalecer la resiliencia del ecosistema.</w:t>
      </w:r>
    </w:p>
    <w:p w14:paraId="06CF19D6" w14:textId="77777777" w:rsidR="003210A4" w:rsidRPr="00B7317C" w:rsidRDefault="003210A4" w:rsidP="00B7317C">
      <w:pPr>
        <w:pStyle w:val="NormalWeb"/>
        <w:jc w:val="both"/>
      </w:pPr>
      <w:r w:rsidRPr="00B7317C">
        <w:lastRenderedPageBreak/>
        <w:t xml:space="preserve">Desde una perspectiva analítica, los resultados estadísticos evidencian que la intensificación productiva se encuentra significativamente asociada con la expansión de superficies homogéneas, particularmente aquellas destinadas a pastos cultivados, lo que confirma la existencia de patrones territoriales de uso acumulativo. En consecuencia, la conversión estructural de los sistemas forestales exige intervenciones técnicamente planificadas, sustentadas en diagnósticos </w:t>
      </w:r>
      <w:proofErr w:type="spellStart"/>
      <w:r w:rsidRPr="00B7317C">
        <w:t>dendrométricos</w:t>
      </w:r>
      <w:proofErr w:type="spellEnd"/>
      <w:r w:rsidRPr="00B7317C">
        <w:t xml:space="preserve"> rigurosos y en la integración de variables ecológicas, productivas y territoriales que orienten la toma de decisiones en el manejo forestal.</w:t>
      </w:r>
    </w:p>
    <w:p w14:paraId="521ED978" w14:textId="77777777" w:rsidR="003210A4" w:rsidRPr="00B7317C" w:rsidRDefault="003210A4" w:rsidP="00B7317C">
      <w:pPr>
        <w:pStyle w:val="NormalWeb"/>
        <w:jc w:val="both"/>
      </w:pPr>
      <w:r w:rsidRPr="00B7317C">
        <w:t xml:space="preserve">En términos funcionales, se establece que la regeneración natural, la restauración ecológica y la implementación de prácticas silvícolas adaptativas constituyen componentes esenciales para la sostenibilidad del proceso de transformación forestal. En este marco, la </w:t>
      </w:r>
      <w:proofErr w:type="spellStart"/>
      <w:r w:rsidRPr="00B7317C">
        <w:t>irregularización</w:t>
      </w:r>
      <w:proofErr w:type="spellEnd"/>
      <w:r w:rsidRPr="00B7317C">
        <w:t xml:space="preserve"> no debe interpretarse únicamente como una modificación estructural, sino como una reorganización integral de los procesos ecológicos del bosque, lo cual contribuye de manera directa a la mejora de la captura de carbono, la regulación hídrica y la estabilidad del sistema frente a perturbaciones ambientales.</w:t>
      </w:r>
    </w:p>
    <w:p w14:paraId="0489A950" w14:textId="77777777" w:rsidR="003210A4" w:rsidRPr="00B7317C" w:rsidRDefault="003210A4" w:rsidP="00B7317C">
      <w:pPr>
        <w:jc w:val="both"/>
        <w:rPr>
          <w:rFonts w:ascii="Times New Roman" w:hAnsi="Times New Roman" w:cs="Times New Roman"/>
          <w:b/>
          <w:sz w:val="24"/>
          <w:szCs w:val="24"/>
        </w:rPr>
      </w:pPr>
      <w:r w:rsidRPr="00B7317C">
        <w:rPr>
          <w:rFonts w:ascii="Times New Roman" w:hAnsi="Times New Roman" w:cs="Times New Roman"/>
          <w:b/>
          <w:sz w:val="24"/>
          <w:szCs w:val="24"/>
        </w:rPr>
        <w:t>Referencias bibliográficas</w:t>
      </w:r>
    </w:p>
    <w:p w14:paraId="303117F0" w14:textId="77777777" w:rsidR="00B7317C" w:rsidRPr="00B7317C" w:rsidRDefault="00B7317C" w:rsidP="00B7317C">
      <w:pPr>
        <w:pStyle w:val="NormalWeb"/>
        <w:jc w:val="both"/>
      </w:pPr>
      <w:r w:rsidRPr="00B7317C">
        <w:t xml:space="preserve">Aguirre Mendoza, Z. H., Merchán Granda, J. P., &amp; </w:t>
      </w:r>
      <w:proofErr w:type="spellStart"/>
      <w:r w:rsidRPr="00B7317C">
        <w:t>Geada</w:t>
      </w:r>
      <w:proofErr w:type="spellEnd"/>
      <w:r w:rsidRPr="00B7317C">
        <w:t xml:space="preserve"> López, G. (2022). Dinámica de crecimiento de especies forestales en el bosque andino del Parque Universitario Francisco Vivar Castro, Loja, Ecuador. Revista Cubana de Ciencias Forestales, 10(3), 292–306.</w:t>
      </w:r>
    </w:p>
    <w:p w14:paraId="66701CAA" w14:textId="77777777" w:rsidR="00B7317C" w:rsidRPr="00B7317C" w:rsidRDefault="00B7317C" w:rsidP="00B7317C">
      <w:pPr>
        <w:pStyle w:val="NormalWeb"/>
        <w:jc w:val="both"/>
      </w:pPr>
      <w:r w:rsidRPr="00B7317C">
        <w:t xml:space="preserve">Benítez, Á., Cueva, K., Vanegas, P., Cóndor, E., Jara Guerrero, A., &amp; Eguiguren, P. (2023). Estructura poblacional y estado de conservación de </w:t>
      </w:r>
      <w:proofErr w:type="spellStart"/>
      <w:r w:rsidRPr="00B7317C">
        <w:t>Bursera</w:t>
      </w:r>
      <w:proofErr w:type="spellEnd"/>
      <w:r w:rsidRPr="00B7317C">
        <w:t xml:space="preserve"> </w:t>
      </w:r>
      <w:proofErr w:type="spellStart"/>
      <w:r w:rsidRPr="00B7317C">
        <w:t>graveolens</w:t>
      </w:r>
      <w:proofErr w:type="spellEnd"/>
      <w:r w:rsidRPr="00B7317C">
        <w:t xml:space="preserve"> en bosques secos del sur del Ecuador. Bosques Latitud Cero, 13(2), 1–15.</w:t>
      </w:r>
    </w:p>
    <w:p w14:paraId="760894B9" w14:textId="77777777" w:rsidR="00B7317C" w:rsidRPr="00B7317C" w:rsidRDefault="00B7317C" w:rsidP="00B7317C">
      <w:pPr>
        <w:pStyle w:val="NormalWeb"/>
        <w:jc w:val="both"/>
      </w:pPr>
      <w:r w:rsidRPr="00B7317C">
        <w:t xml:space="preserve">Cuéllar-Cardozo, J. A., </w:t>
      </w:r>
      <w:proofErr w:type="spellStart"/>
      <w:r w:rsidRPr="00B7317C">
        <w:t>Nossa</w:t>
      </w:r>
      <w:proofErr w:type="spellEnd"/>
      <w:r w:rsidRPr="00B7317C">
        <w:t xml:space="preserve">-Silva, D., &amp; Vallejo, M. I. (2022). Diversidad y estructura florística en zonas </w:t>
      </w:r>
      <w:proofErr w:type="spellStart"/>
      <w:r w:rsidRPr="00B7317C">
        <w:t>riparias</w:t>
      </w:r>
      <w:proofErr w:type="spellEnd"/>
      <w:r w:rsidRPr="00B7317C">
        <w:t xml:space="preserve"> de un remanente de bosque seco tropical. Colombia Forestal, 25(2), 70–84. https://doi.org/10.14483/2256201X.19029</w:t>
      </w:r>
    </w:p>
    <w:p w14:paraId="423E7DC9" w14:textId="77777777" w:rsidR="00B7317C" w:rsidRPr="00B7317C" w:rsidRDefault="00B7317C" w:rsidP="00B7317C">
      <w:pPr>
        <w:pStyle w:val="NormalWeb"/>
        <w:jc w:val="both"/>
      </w:pPr>
      <w:r w:rsidRPr="00B7317C">
        <w:t xml:space="preserve">Flores Rodríguez, A. G., Flores Garnica, J. G., González </w:t>
      </w:r>
      <w:proofErr w:type="spellStart"/>
      <w:r w:rsidRPr="00B7317C">
        <w:t>Eguiarte</w:t>
      </w:r>
      <w:proofErr w:type="spellEnd"/>
      <w:r w:rsidRPr="00B7317C">
        <w:t>, D. R., Gallegos Rodríguez, A., Zarazúa Villaseñor, P., Mena Munguía, S., Lomelí Zavala, M. E., &amp; Ruiz Guzmán, E. (2021). Regeneración natural de pino y encino bajo diferentes niveles de perturbación por incendios forestales. Revista Mexicana de Ciencias Forestales, 12(65), 3–25. https://doi.org/10.29298/rmcf.v12i65.776</w:t>
      </w:r>
    </w:p>
    <w:p w14:paraId="726C562B" w14:textId="77777777" w:rsidR="00B7317C" w:rsidRPr="00B7317C" w:rsidRDefault="00B7317C" w:rsidP="00B7317C">
      <w:pPr>
        <w:pStyle w:val="NormalWeb"/>
        <w:jc w:val="both"/>
      </w:pPr>
      <w:proofErr w:type="spellStart"/>
      <w:r w:rsidRPr="00B7317C">
        <w:t>Food</w:t>
      </w:r>
      <w:proofErr w:type="spellEnd"/>
      <w:r w:rsidRPr="00B7317C">
        <w:t xml:space="preserve"> and </w:t>
      </w:r>
      <w:proofErr w:type="spellStart"/>
      <w:r w:rsidRPr="00B7317C">
        <w:t>Agriculture</w:t>
      </w:r>
      <w:proofErr w:type="spellEnd"/>
      <w:r w:rsidRPr="00B7317C">
        <w:t xml:space="preserve"> </w:t>
      </w:r>
      <w:proofErr w:type="spellStart"/>
      <w:r w:rsidRPr="00B7317C">
        <w:t>Organization</w:t>
      </w:r>
      <w:proofErr w:type="spellEnd"/>
      <w:r w:rsidRPr="00B7317C">
        <w:t xml:space="preserve"> </w:t>
      </w:r>
      <w:proofErr w:type="spellStart"/>
      <w:r w:rsidRPr="00B7317C">
        <w:t>of</w:t>
      </w:r>
      <w:proofErr w:type="spellEnd"/>
      <w:r w:rsidRPr="00B7317C">
        <w:t xml:space="preserve"> </w:t>
      </w:r>
      <w:proofErr w:type="spellStart"/>
      <w:r w:rsidRPr="00B7317C">
        <w:t>the</w:t>
      </w:r>
      <w:proofErr w:type="spellEnd"/>
      <w:r w:rsidRPr="00B7317C">
        <w:t xml:space="preserve"> </w:t>
      </w:r>
      <w:proofErr w:type="spellStart"/>
      <w:r w:rsidRPr="00B7317C">
        <w:t>United</w:t>
      </w:r>
      <w:proofErr w:type="spellEnd"/>
      <w:r w:rsidRPr="00B7317C">
        <w:t xml:space="preserve"> </w:t>
      </w:r>
      <w:proofErr w:type="spellStart"/>
      <w:r w:rsidRPr="00B7317C">
        <w:t>Nations</w:t>
      </w:r>
      <w:proofErr w:type="spellEnd"/>
      <w:r w:rsidRPr="00B7317C">
        <w:t>. (2022). El estado de los bosques del mundo 2022. FAO.</w:t>
      </w:r>
    </w:p>
    <w:p w14:paraId="41329AC5" w14:textId="77777777" w:rsidR="00B7317C" w:rsidRPr="00B7317C" w:rsidRDefault="00B7317C" w:rsidP="00B7317C">
      <w:pPr>
        <w:pStyle w:val="NormalWeb"/>
        <w:jc w:val="both"/>
      </w:pPr>
      <w:r w:rsidRPr="00B7317C">
        <w:t>García-García, S. A., Alanís-Rodríguez, E., Aguirre-Calderón, O. A., Treviño-Garza, E. J., &amp; Graciano-Ávila, G. (2023). Composición, estructura y estado de la regeneración arbórea en un gradiente altitudinal en un bosque templado de Guadalupe y Calvo, Chihuahua. Polibotánica, 56, 81–100. https://doi.org/10.18387/polibotanica.56.5</w:t>
      </w:r>
    </w:p>
    <w:p w14:paraId="4D6847D0" w14:textId="77777777" w:rsidR="00B7317C" w:rsidRPr="00B7317C" w:rsidRDefault="00B7317C" w:rsidP="00B7317C">
      <w:pPr>
        <w:pStyle w:val="NormalWeb"/>
        <w:jc w:val="both"/>
      </w:pPr>
      <w:r w:rsidRPr="00B7317C">
        <w:t xml:space="preserve">Hernández-Álvarez, A. G., Reyes-Ortiz, J. L., Villanueva-Díaz, J., &amp; Sánchez-González, A. (2021). Variación de la estructura del bosque de </w:t>
      </w:r>
      <w:proofErr w:type="spellStart"/>
      <w:r w:rsidRPr="00B7317C">
        <w:t>Abies</w:t>
      </w:r>
      <w:proofErr w:type="spellEnd"/>
      <w:r w:rsidRPr="00B7317C">
        <w:t xml:space="preserve"> religiosa (</w:t>
      </w:r>
      <w:proofErr w:type="spellStart"/>
      <w:r w:rsidRPr="00B7317C">
        <w:t>Pinaceae</w:t>
      </w:r>
      <w:proofErr w:type="spellEnd"/>
      <w:r w:rsidRPr="00B7317C">
        <w:t xml:space="preserve">), en diferentes condiciones de manejo y disturbio. Acta </w:t>
      </w:r>
      <w:proofErr w:type="spellStart"/>
      <w:r w:rsidRPr="00B7317C">
        <w:t>Botanica</w:t>
      </w:r>
      <w:proofErr w:type="spellEnd"/>
      <w:r w:rsidRPr="00B7317C">
        <w:t xml:space="preserve"> </w:t>
      </w:r>
      <w:proofErr w:type="gramStart"/>
      <w:r w:rsidRPr="00B7317C">
        <w:t>Mexicana</w:t>
      </w:r>
      <w:proofErr w:type="gramEnd"/>
      <w:r w:rsidRPr="00B7317C">
        <w:t>, 128, e1752. https://doi.org/10.21829/abm128.2021.1752</w:t>
      </w:r>
    </w:p>
    <w:p w14:paraId="3497E502" w14:textId="77777777" w:rsidR="00B7317C" w:rsidRPr="00B7317C" w:rsidRDefault="00B7317C" w:rsidP="00B7317C">
      <w:pPr>
        <w:pStyle w:val="NormalWeb"/>
        <w:jc w:val="both"/>
      </w:pPr>
      <w:r w:rsidRPr="00B7317C">
        <w:lastRenderedPageBreak/>
        <w:t>Holguín-Estrada, V. A., Alanís-Rodríguez, E., Aguirre-Calderón, O. A., Yerena-</w:t>
      </w:r>
      <w:proofErr w:type="spellStart"/>
      <w:r w:rsidRPr="00B7317C">
        <w:t>Yamallel</w:t>
      </w:r>
      <w:proofErr w:type="spellEnd"/>
      <w:r w:rsidRPr="00B7317C">
        <w:t>, J. I., &amp; Pequeño-Ledezma, M. A. (2021). Estructura vertical de un bosque de galería en un gradiente altitudinal en el noroeste de México. Polibotánica, 51, 55–71. https://doi.org/10.18387/polibotanica.51.4</w:t>
      </w:r>
    </w:p>
    <w:p w14:paraId="42394D86" w14:textId="77777777" w:rsidR="00B7317C" w:rsidRPr="00B7317C" w:rsidRDefault="00B7317C" w:rsidP="00B7317C">
      <w:pPr>
        <w:pStyle w:val="NormalWeb"/>
        <w:jc w:val="both"/>
      </w:pPr>
      <w:r w:rsidRPr="00B7317C">
        <w:t>Holguín-Estrada, V. A., Alanís-Rodríguez, E., Aguirre-Calderón, O. A., Yerena-</w:t>
      </w:r>
      <w:proofErr w:type="spellStart"/>
      <w:r w:rsidRPr="00B7317C">
        <w:t>Yamallel</w:t>
      </w:r>
      <w:proofErr w:type="spellEnd"/>
      <w:r w:rsidRPr="00B7317C">
        <w:t>, J. I., &amp; Pequeño-Ledezma, M. A. (2021). Estructura y composición florística de un bosque de galería en un gradiente altitudinal en el noroeste de México. Madera y Bosques, 27(2), e2722123. https://doi.org/10.21829/myb.2021.2722123</w:t>
      </w:r>
    </w:p>
    <w:p w14:paraId="2B5FF8AE" w14:textId="77777777" w:rsidR="00B7317C" w:rsidRPr="00B7317C" w:rsidRDefault="00B7317C" w:rsidP="00B7317C">
      <w:pPr>
        <w:pStyle w:val="NormalWeb"/>
        <w:jc w:val="both"/>
      </w:pPr>
      <w:r w:rsidRPr="00B7317C">
        <w:t xml:space="preserve">Instituto Nacional de Estadística y Censos. (2024). Boletín técnico: Encuesta de Superficie y Producción Agropecuaria Continua 2023. INEC. </w:t>
      </w:r>
    </w:p>
    <w:p w14:paraId="1BD3ED60" w14:textId="77777777" w:rsidR="00B7317C" w:rsidRPr="00B7317C" w:rsidRDefault="00B7317C" w:rsidP="00B7317C">
      <w:pPr>
        <w:pStyle w:val="NormalWeb"/>
        <w:jc w:val="both"/>
      </w:pPr>
      <w:r w:rsidRPr="00B7317C">
        <w:t xml:space="preserve">Instituto Nacional de Estadística y Censos. (2024). Metodología de la Encuesta de Superficie y Producción Agropecuaria Continua 2023. INEC. </w:t>
      </w:r>
    </w:p>
    <w:p w14:paraId="2C463E43" w14:textId="77777777" w:rsidR="00B7317C" w:rsidRPr="00B7317C" w:rsidRDefault="00B7317C" w:rsidP="00B7317C">
      <w:pPr>
        <w:pStyle w:val="NormalWeb"/>
        <w:jc w:val="both"/>
      </w:pPr>
      <w:r w:rsidRPr="00B7317C">
        <w:t>Londoño-Lemos, V., Pizano, C., &amp; Cabrera, O. (2022). Composición y estructura vegetal de una parcela de bosque seco tropical en Tolima, Colombia. Biota Colombiana, 23(2).</w:t>
      </w:r>
    </w:p>
    <w:p w14:paraId="1DCF67A2" w14:textId="77777777" w:rsidR="00B7317C" w:rsidRPr="00B7317C" w:rsidRDefault="00B7317C" w:rsidP="00B7317C">
      <w:pPr>
        <w:pStyle w:val="NormalWeb"/>
        <w:jc w:val="both"/>
      </w:pPr>
      <w:r w:rsidRPr="00B7317C">
        <w:t xml:space="preserve">Luna-Blanco, C. P., Álvarez-Pérez, P. J., &amp; Mercado-Gómez, J. D. (2022). Diversidad y estructura fisionómica en dos fragmentos de bosques </w:t>
      </w:r>
      <w:proofErr w:type="spellStart"/>
      <w:r w:rsidRPr="00B7317C">
        <w:t>riparios</w:t>
      </w:r>
      <w:proofErr w:type="spellEnd"/>
      <w:r w:rsidRPr="00B7317C">
        <w:t xml:space="preserve"> asociados a ecosistemas secos en el Caribe colombiano. Ciencia en Desarrollo, 13(2), 11–24. https://doi.org/10.19053/01217488.v13.n2.2022.14137</w:t>
      </w:r>
    </w:p>
    <w:p w14:paraId="38C77CC8" w14:textId="77777777" w:rsidR="00B7317C" w:rsidRPr="00B7317C" w:rsidRDefault="00B7317C" w:rsidP="00B7317C">
      <w:pPr>
        <w:pStyle w:val="NormalWeb"/>
        <w:jc w:val="both"/>
      </w:pPr>
      <w:r w:rsidRPr="00B7317C">
        <w:t>Mata-Balderas, J. M., Cavada-Prado, K. A., Sarmiento-Muñoz, T. I., &amp; González-Rodríguez, H. (2022). Monitoreo de la supervivencia de una reforestación con especies nativas del matorral espinoso tamaulipeco. Revista Mexicana de Ciencias Forestales, 13(71), 28–52. https://doi.org/10.29298/rmcf.v13i71.1229</w:t>
      </w:r>
    </w:p>
    <w:p w14:paraId="580AD0B5" w14:textId="77777777" w:rsidR="00B7317C" w:rsidRPr="00B7317C" w:rsidRDefault="00B7317C" w:rsidP="00B7317C">
      <w:pPr>
        <w:pStyle w:val="NormalWeb"/>
        <w:jc w:val="both"/>
      </w:pPr>
      <w:r w:rsidRPr="00B7317C">
        <w:t>Mata-Balderas, J. M., González-Sánchez, C. S., Cavada-Prado, K. A., Sarmiento-Muñoz, T. I., &amp; González-Rodríguez, H. (2023). Evaluación de una reforestación y regeneración del matorral espinoso tamaulipeco en el noreste de México. Revista Mexicana de Ciencias Forestales, 14(79). https://doi.org/10.29298/rmcf.v14i79.1340</w:t>
      </w:r>
    </w:p>
    <w:p w14:paraId="31F5979B" w14:textId="77777777" w:rsidR="00B7317C" w:rsidRPr="00B7317C" w:rsidRDefault="00B7317C" w:rsidP="00B7317C">
      <w:pPr>
        <w:pStyle w:val="NormalWeb"/>
        <w:jc w:val="both"/>
      </w:pPr>
      <w:r w:rsidRPr="00B7317C">
        <w:t>Mazón, M., Samaniego, N., Ojeda-Luna, T., Eguiguren, P., Veintimilla, D., &amp; Maita-Chamba, J. (2023). Necesidades para desarrollar procesos de restauración ecológica en Ecuador de manera efectiva. Bosque, 44(3), 459–467. https://doi.org/10.4067/S0717-92002023000300459</w:t>
      </w:r>
    </w:p>
    <w:p w14:paraId="35C5E5B5" w14:textId="77777777" w:rsidR="00B7317C" w:rsidRPr="00B7317C" w:rsidRDefault="00B7317C" w:rsidP="00B7317C">
      <w:pPr>
        <w:pStyle w:val="NormalWeb"/>
        <w:jc w:val="both"/>
      </w:pPr>
      <w:r w:rsidRPr="00B7317C">
        <w:t xml:space="preserve">Ministerio del Ambiente y Agua. (2022). Informe sobre la reducción de emisiones por deforestación del Ecuador continental. Gobierno del Ecuador. </w:t>
      </w:r>
    </w:p>
    <w:p w14:paraId="040A26C7" w14:textId="77777777" w:rsidR="00B7317C" w:rsidRPr="00B7317C" w:rsidRDefault="00B7317C" w:rsidP="00B7317C">
      <w:pPr>
        <w:pStyle w:val="NormalWeb"/>
        <w:jc w:val="both"/>
      </w:pPr>
      <w:r w:rsidRPr="00B7317C">
        <w:t xml:space="preserve">Ministerio del Ambiente, Agua y Transición Ecológica. (2024). Sistema Nacional de Monitoreo de Bosques. Gobierno del Ecuador. </w:t>
      </w:r>
    </w:p>
    <w:p w14:paraId="147E417D" w14:textId="77777777" w:rsidR="00B7317C" w:rsidRPr="00B7317C" w:rsidRDefault="00B7317C" w:rsidP="00B7317C">
      <w:pPr>
        <w:pStyle w:val="NormalWeb"/>
        <w:jc w:val="both"/>
      </w:pPr>
      <w:r w:rsidRPr="00B7317C">
        <w:t xml:space="preserve">Ministerio del Ambiente, Agua y Transición Ecológica. (s. f.). Evaluación Nacional Forestal del Ecuador. Gobierno del Ecuador. </w:t>
      </w:r>
    </w:p>
    <w:p w14:paraId="4AA31DCB" w14:textId="77777777" w:rsidR="00B7317C" w:rsidRPr="00B7317C" w:rsidRDefault="00B7317C" w:rsidP="00B7317C">
      <w:pPr>
        <w:pStyle w:val="NormalWeb"/>
        <w:jc w:val="both"/>
      </w:pPr>
      <w:r w:rsidRPr="00B7317C">
        <w:t xml:space="preserve">Mosquera-Vásquez, M., &amp; Tobón Marín, C. (2023). Efectos de la restauración de los bosques montanos tropicales sobre el funcionamiento </w:t>
      </w:r>
      <w:proofErr w:type="spellStart"/>
      <w:r w:rsidRPr="00B7317C">
        <w:t>ecohidrológico</w:t>
      </w:r>
      <w:proofErr w:type="spellEnd"/>
      <w:r w:rsidRPr="00B7317C">
        <w:t xml:space="preserve"> de cuencas </w:t>
      </w:r>
      <w:r w:rsidRPr="00B7317C">
        <w:lastRenderedPageBreak/>
        <w:t>hidrográficas. Bosque, 44(3), 639–653. https://doi.org/10.4067/S0717-92002023000300639</w:t>
      </w:r>
    </w:p>
    <w:p w14:paraId="6EBAD63A" w14:textId="77777777" w:rsidR="00B7317C" w:rsidRPr="00B7317C" w:rsidRDefault="00B7317C" w:rsidP="00B7317C">
      <w:pPr>
        <w:pStyle w:val="NormalWeb"/>
        <w:jc w:val="both"/>
      </w:pPr>
      <w:r w:rsidRPr="00B7317C">
        <w:t>Nacif, M. E., Goldenberg, M. G., Oddi, F. J., Pastorino, M. J., Aparicio, A. G., &amp; Garibaldi, L. A. (2023). Plantación de especies forestales nativas en matorrales de Patagonia norte: respuesta a la apertura inicial de dosel en sitios contrastantes. Bosque, 44(1), 219–239. https://doi.org/10.4067/S0717-92002023000100219</w:t>
      </w:r>
    </w:p>
    <w:p w14:paraId="10B954FA" w14:textId="77777777" w:rsidR="00B7317C" w:rsidRPr="00B7317C" w:rsidRDefault="00B7317C" w:rsidP="00B7317C">
      <w:pPr>
        <w:pStyle w:val="NormalWeb"/>
        <w:jc w:val="both"/>
      </w:pPr>
      <w:r w:rsidRPr="00B7317C">
        <w:t xml:space="preserve">Naciones Unidas Ecuador. (2024). Reporte anual 2023. Naciones Unidas Ecuador. </w:t>
      </w:r>
    </w:p>
    <w:p w14:paraId="30FDAF7F" w14:textId="77777777" w:rsidR="00B7317C" w:rsidRPr="00B7317C" w:rsidRDefault="00B7317C" w:rsidP="00B7317C">
      <w:pPr>
        <w:pStyle w:val="NormalWeb"/>
        <w:jc w:val="both"/>
      </w:pPr>
      <w:r w:rsidRPr="00B7317C">
        <w:t>Patiño-Flores, A. M., Alanís-Rodríguez, E., Jurado, E., González-Rodríguez, H., Aguirre-Calderón, O. A., &amp; Molina-Guerra, V. M. (2021). Estructura y diversidad del matorral espinoso tamaulipeco regenerado posterior a uso pecuario. Polibotánica, 52, 75–88. https://doi.org/10.18387/polibotanica.52.6</w:t>
      </w:r>
    </w:p>
    <w:p w14:paraId="0F426937" w14:textId="77777777" w:rsidR="00B7317C" w:rsidRPr="00B7317C" w:rsidRDefault="00B7317C" w:rsidP="00B7317C">
      <w:pPr>
        <w:pStyle w:val="NormalWeb"/>
        <w:jc w:val="both"/>
      </w:pPr>
      <w:r w:rsidRPr="00B7317C">
        <w:t>Patiño-Flores, A. M., Alanís-Rodríguez, E., Molina-Guerra, V. M., Jurado, E., González-Rodríguez, H., Aguirre-Calderón, O. A., &amp; Collantes-Chávez-Costa, A. (2022). Regeneración natural en un área restaurada del matorral espinoso tamaulipeco del noreste de México. Ecosistemas y Recursos Agropecuarios, 9(1), e2853. https://doi.org/10.19136/era.a9n1.2853</w:t>
      </w:r>
    </w:p>
    <w:p w14:paraId="01CB20CD" w14:textId="77777777" w:rsidR="00B7317C" w:rsidRPr="00B7317C" w:rsidRDefault="00B7317C" w:rsidP="00B7317C">
      <w:pPr>
        <w:pStyle w:val="NormalWeb"/>
        <w:jc w:val="both"/>
      </w:pPr>
      <w:r w:rsidRPr="00B7317C">
        <w:t xml:space="preserve">Programa de las Naciones Unidas para el Desarrollo, Ministerio del Ambiente del Ecuador, &amp; Programa </w:t>
      </w:r>
      <w:proofErr w:type="spellStart"/>
      <w:r w:rsidRPr="00B7317C">
        <w:t>PROAmazonía</w:t>
      </w:r>
      <w:proofErr w:type="spellEnd"/>
      <w:r w:rsidRPr="00B7317C">
        <w:t xml:space="preserve">. (2021). La deforestación en el Ecuador, 1990–2018: Factores, promotores y tendencias recientes. </w:t>
      </w:r>
      <w:proofErr w:type="spellStart"/>
      <w:r w:rsidRPr="00B7317C">
        <w:t>PROAmazonía</w:t>
      </w:r>
      <w:proofErr w:type="spellEnd"/>
      <w:r w:rsidRPr="00B7317C">
        <w:t xml:space="preserve">. </w:t>
      </w:r>
    </w:p>
    <w:p w14:paraId="68B60654" w14:textId="77777777" w:rsidR="00B7317C" w:rsidRPr="00B7317C" w:rsidRDefault="00B7317C" w:rsidP="00B7317C">
      <w:pPr>
        <w:pStyle w:val="NormalWeb"/>
        <w:jc w:val="both"/>
      </w:pPr>
      <w:r w:rsidRPr="00B7317C">
        <w:t xml:space="preserve">Ramírez Huila, W., &amp; Ayoví Garcés, N. E. (2022). Estructura y composición arbórea del bosque seco tropical en el valle </w:t>
      </w:r>
      <w:proofErr w:type="spellStart"/>
      <w:r w:rsidRPr="00B7317C">
        <w:t>Sancán</w:t>
      </w:r>
      <w:proofErr w:type="spellEnd"/>
      <w:r w:rsidRPr="00B7317C">
        <w:t xml:space="preserve">, Manabí, Ecuador. Revista Cubana de Ciencias Forestales, 10(2), 169–181. </w:t>
      </w:r>
    </w:p>
    <w:p w14:paraId="2A1DA4A7" w14:textId="77777777" w:rsidR="00B7317C" w:rsidRPr="00B7317C" w:rsidRDefault="00B7317C" w:rsidP="00B7317C">
      <w:pPr>
        <w:pStyle w:val="NormalWeb"/>
        <w:jc w:val="both"/>
      </w:pPr>
      <w:r w:rsidRPr="00B7317C">
        <w:t xml:space="preserve">Ramírez-Huila, W. N., </w:t>
      </w:r>
      <w:proofErr w:type="spellStart"/>
      <w:r w:rsidRPr="00B7317C">
        <w:t>Geada</w:t>
      </w:r>
      <w:proofErr w:type="spellEnd"/>
      <w:r w:rsidRPr="00B7317C">
        <w:t xml:space="preserve">-López, G., </w:t>
      </w:r>
      <w:proofErr w:type="spellStart"/>
      <w:r w:rsidRPr="00B7317C">
        <w:t>Sotolongo-Sospedra</w:t>
      </w:r>
      <w:proofErr w:type="spellEnd"/>
      <w:r w:rsidRPr="00B7317C">
        <w:t>, R., &amp; Ayoví-Garcés, N. E. (2023). Estructura y diversidad en un fragmento de bosque seco deciduo asociado a comunidades humanas en Manabí, Ecuador. Avances, 25(3), 292–309.</w:t>
      </w:r>
    </w:p>
    <w:p w14:paraId="4E4266DF" w14:textId="77777777" w:rsidR="00B7317C" w:rsidRPr="00B7317C" w:rsidRDefault="00B7317C" w:rsidP="00B7317C">
      <w:pPr>
        <w:pStyle w:val="NormalWeb"/>
        <w:jc w:val="both"/>
      </w:pPr>
      <w:r w:rsidRPr="00B7317C">
        <w:t>Rascón-Solano, J., Galván-Moreno, V. S., Aguirre-Calderón, O. A., &amp; García-García, S. A. (2022). Caracterización estructural y carbono almacenado en un bosque templado frío censado en el noroeste de México. Revista Mexicana de Ciencias Forestales, 13(70), 136–165. https://doi.org/10.29298/rmcf.v13i70.1123</w:t>
      </w:r>
    </w:p>
    <w:p w14:paraId="6471486F" w14:textId="77777777" w:rsidR="00B7317C" w:rsidRPr="00B7317C" w:rsidRDefault="00B7317C" w:rsidP="00B7317C">
      <w:pPr>
        <w:pStyle w:val="NormalWeb"/>
        <w:jc w:val="both"/>
      </w:pPr>
      <w:proofErr w:type="spellStart"/>
      <w:r w:rsidRPr="00B7317C">
        <w:t>Rovere</w:t>
      </w:r>
      <w:proofErr w:type="spellEnd"/>
      <w:r w:rsidRPr="00B7317C">
        <w:t>, A. E. (2023). Relevamiento de publicaciones sobre restauración en la región de los bosques Andino Patagónicos de Argentina. Bosque, 44(1), 173–182. https://doi.org/10.4067/S0717-92002023000100173</w:t>
      </w:r>
    </w:p>
    <w:p w14:paraId="68F4B8D7" w14:textId="77777777" w:rsidR="00B7317C" w:rsidRPr="00B7317C" w:rsidRDefault="00B7317C" w:rsidP="00B7317C">
      <w:pPr>
        <w:pStyle w:val="NormalWeb"/>
        <w:jc w:val="both"/>
      </w:pPr>
      <w:r w:rsidRPr="00B7317C">
        <w:t xml:space="preserve">Sandoval-García, C., Silva-Aguayo, G., Bustamante-Sánchez, M. Á., &amp; San Martín, J. (2022). Restauración ecológica en ambientes forestales mediterráneos: supervivencia de plantas y mejoras </w:t>
      </w:r>
      <w:proofErr w:type="spellStart"/>
      <w:r w:rsidRPr="00B7317C">
        <w:t>microambientales</w:t>
      </w:r>
      <w:proofErr w:type="spellEnd"/>
      <w:r w:rsidRPr="00B7317C">
        <w:t xml:space="preserve"> mediante nucleación. Madera y Bosques, 28(2), e2822294.</w:t>
      </w:r>
    </w:p>
    <w:p w14:paraId="0F640D3D" w14:textId="77777777" w:rsidR="00B7317C" w:rsidRPr="00B7317C" w:rsidRDefault="00B7317C" w:rsidP="00B7317C">
      <w:pPr>
        <w:pStyle w:val="NormalWeb"/>
        <w:jc w:val="both"/>
      </w:pPr>
      <w:r w:rsidRPr="00B7317C">
        <w:t xml:space="preserve">Vega, A. A., Corral Rivas, S., Corral Rivas, J. J., &amp; Diéguez Aranda, U. (2022). Modelación de las estructuras diamétricas en bosques naturales de Pueblo Nuevo, </w:t>
      </w:r>
      <w:r w:rsidRPr="00B7317C">
        <w:lastRenderedPageBreak/>
        <w:t>Durango. Revista Mexicana de Ciencias Forestales, 13(73), 75–101. https://doi.org/10.29298/rmcf.v13i73.1187</w:t>
      </w:r>
    </w:p>
    <w:tbl>
      <w:tblPr>
        <w:tblStyle w:val="Tablaconcuadrcula"/>
        <w:tblpPr w:leftFromText="141" w:rightFromText="141" w:vertAnchor="text" w:horzAnchor="margin" w:tblpXSpec="center" w:tblpY="132"/>
        <w:tblW w:w="8926" w:type="dxa"/>
        <w:shd w:val="clear" w:color="auto" w:fill="E7E6E6" w:themeFill="background2"/>
        <w:tblLook w:val="04A0" w:firstRow="1" w:lastRow="0" w:firstColumn="1" w:lastColumn="0" w:noHBand="0" w:noVBand="1"/>
      </w:tblPr>
      <w:tblGrid>
        <w:gridCol w:w="8926"/>
      </w:tblGrid>
      <w:tr w:rsidR="00E56CBA" w:rsidRPr="00117DA5" w14:paraId="47EF0915" w14:textId="77777777" w:rsidTr="00627B20">
        <w:tc>
          <w:tcPr>
            <w:tcW w:w="8926" w:type="dxa"/>
            <w:shd w:val="clear" w:color="auto" w:fill="E7E6E6" w:themeFill="background2"/>
          </w:tcPr>
          <w:p w14:paraId="56CA1A78" w14:textId="77777777" w:rsidR="00E56CBA" w:rsidRPr="00117DA5" w:rsidRDefault="00E56CBA" w:rsidP="00627B20">
            <w:pPr>
              <w:spacing w:before="240" w:after="240"/>
              <w:jc w:val="right"/>
              <w:rPr>
                <w:rFonts w:ascii="Times New Roman" w:hAnsi="Times New Roman" w:cs="Times New Roman"/>
                <w:b/>
              </w:rPr>
            </w:pPr>
            <w:r w:rsidRPr="00117DA5">
              <w:rPr>
                <w:rFonts w:ascii="Times New Roman" w:hAnsi="Times New Roman" w:cs="Times New Roman"/>
                <w:b/>
              </w:rPr>
              <w:t>Conflicto de intereses:</w:t>
            </w:r>
          </w:p>
          <w:p w14:paraId="22664197" w14:textId="77777777" w:rsidR="00E56CBA" w:rsidRPr="00117DA5" w:rsidRDefault="00E56CBA" w:rsidP="00627B20">
            <w:pPr>
              <w:spacing w:before="240" w:after="240"/>
              <w:jc w:val="right"/>
              <w:rPr>
                <w:rFonts w:ascii="Times New Roman" w:hAnsi="Times New Roman" w:cs="Times New Roman"/>
                <w:b/>
              </w:rPr>
            </w:pPr>
            <w:r w:rsidRPr="00117DA5">
              <w:rPr>
                <w:rFonts w:ascii="Times New Roman" w:hAnsi="Times New Roman" w:cs="Times New Roman"/>
              </w:rPr>
              <w:t>Los autores declaran que no existe conflicto de interés</w:t>
            </w:r>
          </w:p>
        </w:tc>
      </w:tr>
    </w:tbl>
    <w:p w14:paraId="0C5C9DAD" w14:textId="77777777" w:rsidR="00AD392F" w:rsidRPr="00B7317C" w:rsidRDefault="00AD392F" w:rsidP="00B7317C">
      <w:pPr>
        <w:jc w:val="both"/>
        <w:rPr>
          <w:rFonts w:ascii="Times New Roman" w:hAnsi="Times New Roman" w:cs="Times New Roman"/>
          <w:b/>
          <w:sz w:val="24"/>
          <w:szCs w:val="24"/>
        </w:rPr>
      </w:pPr>
    </w:p>
    <w:sectPr w:rsidR="00AD392F" w:rsidRPr="00B7317C">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3F790" w14:textId="77777777" w:rsidR="007845AC" w:rsidRDefault="007845AC" w:rsidP="00E56CBA">
      <w:pPr>
        <w:spacing w:after="0" w:line="240" w:lineRule="auto"/>
      </w:pPr>
      <w:r>
        <w:separator/>
      </w:r>
    </w:p>
  </w:endnote>
  <w:endnote w:type="continuationSeparator" w:id="0">
    <w:p w14:paraId="6498EC63" w14:textId="77777777" w:rsidR="007845AC" w:rsidRDefault="007845AC" w:rsidP="00E56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6C84E" w14:textId="77777777" w:rsidR="007845AC" w:rsidRDefault="007845AC" w:rsidP="00E56CBA">
      <w:pPr>
        <w:spacing w:after="0" w:line="240" w:lineRule="auto"/>
      </w:pPr>
      <w:r>
        <w:separator/>
      </w:r>
    </w:p>
  </w:footnote>
  <w:footnote w:type="continuationSeparator" w:id="0">
    <w:p w14:paraId="189FE8A3" w14:textId="77777777" w:rsidR="007845AC" w:rsidRDefault="007845AC" w:rsidP="00E56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F1E1" w14:textId="77777777" w:rsidR="00E56CBA" w:rsidRPr="003B6DD0" w:rsidRDefault="00E56CBA" w:rsidP="00E56CBA">
    <w:pPr>
      <w:pStyle w:val="Encabezado"/>
      <w:rPr>
        <w:noProof/>
        <w:color w:val="2F5496" w:themeColor="accent5" w:themeShade="BF"/>
      </w:rPr>
    </w:pPr>
    <w:r w:rsidRPr="003B6DD0">
      <w:rPr>
        <w:noProof/>
        <w:color w:val="2F5496" w:themeColor="accent5" w:themeShade="BF"/>
      </w:rPr>
      <w:drawing>
        <wp:anchor distT="0" distB="0" distL="114300" distR="114300" simplePos="0" relativeHeight="251659264" behindDoc="0" locked="0" layoutInCell="1" allowOverlap="1" wp14:anchorId="43CFEDE6" wp14:editId="1AE65677">
          <wp:simplePos x="0" y="0"/>
          <wp:positionH relativeFrom="column">
            <wp:posOffset>3316605</wp:posOffset>
          </wp:positionH>
          <wp:positionV relativeFrom="paragraph">
            <wp:posOffset>-205740</wp:posOffset>
          </wp:positionV>
          <wp:extent cx="2619375" cy="61722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DD0">
      <w:rPr>
        <w:noProof/>
        <w:color w:val="2F5496" w:themeColor="accent5" w:themeShade="BF"/>
      </w:rPr>
      <w:drawing>
        <wp:anchor distT="0" distB="0" distL="114300" distR="114300" simplePos="0" relativeHeight="251660288" behindDoc="0" locked="0" layoutInCell="1" allowOverlap="1" wp14:anchorId="118FD8C4" wp14:editId="567BA042">
          <wp:simplePos x="0" y="0"/>
          <wp:positionH relativeFrom="margin">
            <wp:align>left</wp:align>
          </wp:positionH>
          <wp:positionV relativeFrom="paragraph">
            <wp:posOffset>-374015</wp:posOffset>
          </wp:positionV>
          <wp:extent cx="838200" cy="297180"/>
          <wp:effectExtent l="0" t="0" r="0" b="762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DD0">
      <w:rPr>
        <w:rFonts w:ascii="Times New Roman" w:hAnsi="Times New Roman" w:cs="Times New Roman"/>
        <w:b/>
        <w:bCs/>
        <w:color w:val="2F5496" w:themeColor="accent5" w:themeShade="BF"/>
      </w:rPr>
      <w:t>ISSN: 3151-8257</w:t>
    </w:r>
  </w:p>
  <w:p w14:paraId="2AB40D92" w14:textId="77777777" w:rsidR="00E56CBA" w:rsidRPr="003B6DD0" w:rsidRDefault="00E56CBA" w:rsidP="00E56CBA">
    <w:pPr>
      <w:pStyle w:val="Encabezado"/>
      <w:rPr>
        <w:rFonts w:ascii="Times New Roman" w:hAnsi="Times New Roman" w:cs="Times New Roman"/>
        <w:b/>
        <w:bCs/>
        <w:color w:val="2F5496" w:themeColor="accent5" w:themeShade="BF"/>
      </w:rPr>
    </w:pPr>
    <w:r w:rsidRPr="003B6DD0">
      <w:rPr>
        <w:rFonts w:ascii="Times New Roman" w:hAnsi="Times New Roman" w:cs="Times New Roman"/>
        <w:b/>
        <w:bCs/>
        <w:color w:val="2F5496" w:themeColor="accent5" w:themeShade="BF"/>
      </w:rPr>
      <w:t xml:space="preserve">DOI: </w:t>
    </w:r>
  </w:p>
  <w:p w14:paraId="721AA784" w14:textId="0AE26526" w:rsidR="00E56CBA" w:rsidRPr="00E56CBA" w:rsidRDefault="00E56CBA">
    <w:pPr>
      <w:pStyle w:val="Encabezado"/>
      <w:rPr>
        <w:color w:val="2F5496" w:themeColor="accent5" w:themeShade="BF"/>
      </w:rPr>
    </w:pPr>
    <w:r w:rsidRPr="003B6DD0">
      <w:rPr>
        <w:noProof/>
        <w:color w:val="2F5496" w:themeColor="accent5" w:themeShade="BF"/>
      </w:rPr>
      <mc:AlternateContent>
        <mc:Choice Requires="wps">
          <w:drawing>
            <wp:anchor distT="0" distB="0" distL="114300" distR="114300" simplePos="0" relativeHeight="251661312" behindDoc="0" locked="0" layoutInCell="1" allowOverlap="1" wp14:anchorId="5FBFE1A3" wp14:editId="5F400600">
              <wp:simplePos x="0" y="0"/>
              <wp:positionH relativeFrom="column">
                <wp:posOffset>9525</wp:posOffset>
              </wp:positionH>
              <wp:positionV relativeFrom="paragraph">
                <wp:posOffset>90170</wp:posOffset>
              </wp:positionV>
              <wp:extent cx="3276600"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327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0603CA" id="Conector recto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7.1pt" to="258.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PsmwEAAJQDAAAOAAAAZHJzL2Uyb0RvYy54bWysU9uO0zAQfUfiHyy/06RFKihqug+7ghcE&#10;Ky4f4HXGjSXbY41Nk/49Y7dNEYuEQLw4vsw5M+fMZHc3eyeOQMli6OV61UoBQeNgw6GX376+e/VW&#10;ipRVGJTDAL08QZJ3+5cvdlPsYIMjugFIMElI3RR7OeYcu6ZJegSv0gojBH40SF5lPtKhGUhNzO5d&#10;s2nbbTMhDZFQQ0p8+3B+lPvKbwzo/MmYBFm4XnJtua5U16eyNvud6g6k4mj1pQz1D1V4ZQMnXage&#10;VFbiO9lnVN5qwoQmrzT6Bo2xGqoGVrNuf1HzZVQRqhY2J8XFpvT/aPXH4314JLZhiqlL8ZGKitmQ&#10;L1+uT8zVrNNiFsxZaL58vXmz3bbsqb6+NTdgpJTfA3pRNr10NhQdqlPHDylzMg69hvDhlrru8slB&#10;CXbhMxhhB062rug6FXDvSBwV91NpDSGvSw+Zr0YXmLHOLcD2z8BLfIFCnZi/AS+ImhlDXsDeBqTf&#10;Zc/ztWRzjr86cNZdLHjC4VSbUq3h1leFlzEts/XzucJvP9P+BwAAAP//AwBQSwMEFAAGAAgAAAAh&#10;AFGbynTcAAAABwEAAA8AAABkcnMvZG93bnJldi54bWxMjk1Lw0AQhu9C/8MyBW9202CtxGxKKYi1&#10;IMUq1OM2OybR7GzY3Tbpv3fEgz0N7wfvPPlisK04oQ+NIwXTSQICqXSmoUrB+9vjzT2IEDUZ3TpC&#10;BWcMsChGV7nOjOvpFU+7WAkeoZBpBXWMXSZlKGu0Okxch8TZp/NWR5a+ksbrnsdtK9MkuZNWN8Qf&#10;at3hqsbye3e0Cl78er1abs5ftP2w/T7d7LfPw5NS1+Nh+QAi4hD/y/CLz+hQMNPBHckE0bKecZHP&#10;bQqC49l0zsbhz5BFLi/5ix8AAAD//wMAUEsBAi0AFAAGAAgAAAAhALaDOJL+AAAA4QEAABMAAAAA&#10;AAAAAAAAAAAAAAAAAFtDb250ZW50X1R5cGVzXS54bWxQSwECLQAUAAYACAAAACEAOP0h/9YAAACU&#10;AQAACwAAAAAAAAAAAAAAAAAvAQAAX3JlbHMvLnJlbHNQSwECLQAUAAYACAAAACEA6Wlj7JsBAACU&#10;AwAADgAAAAAAAAAAAAAAAAAuAgAAZHJzL2Uyb0RvYy54bWxQSwECLQAUAAYACAAAACEAUZvKdNwA&#10;AAAHAQAADwAAAAAAAAAAAAAAAAD1AwAAZHJzL2Rvd25yZXYueG1sUEsFBgAAAAAEAAQA8wAAAP4E&#10;AAAAAA==&#10;" strokecolor="#5b9bd5 [3204]" strokeweight=".5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92F"/>
    <w:rsid w:val="000375B8"/>
    <w:rsid w:val="001533A7"/>
    <w:rsid w:val="00295BF3"/>
    <w:rsid w:val="003210A4"/>
    <w:rsid w:val="007845AC"/>
    <w:rsid w:val="00966649"/>
    <w:rsid w:val="00A5390F"/>
    <w:rsid w:val="00AD392F"/>
    <w:rsid w:val="00B7317C"/>
    <w:rsid w:val="00CE2E4B"/>
    <w:rsid w:val="00E56CB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0EAB1"/>
  <w15:chartTrackingRefBased/>
  <w15:docId w15:val="{D8A031EB-A431-4CE6-84B4-39FE7596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3210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295BF3"/>
    <w:p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D392F"/>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AD392F"/>
    <w:rPr>
      <w:b/>
      <w:bCs/>
    </w:rPr>
  </w:style>
  <w:style w:type="character" w:customStyle="1" w:styleId="Ttulo3Car">
    <w:name w:val="Título 3 Car"/>
    <w:basedOn w:val="Fuentedeprrafopredeter"/>
    <w:link w:val="Ttulo3"/>
    <w:uiPriority w:val="9"/>
    <w:rsid w:val="00295BF3"/>
    <w:rPr>
      <w:rFonts w:ascii="Times New Roman" w:eastAsia="Times New Roman" w:hAnsi="Times New Roman" w:cs="Times New Roman"/>
      <w:b/>
      <w:bCs/>
      <w:sz w:val="27"/>
      <w:szCs w:val="27"/>
      <w:lang w:eastAsia="es-EC"/>
    </w:rPr>
  </w:style>
  <w:style w:type="paragraph" w:styleId="HTMLconformatoprevio">
    <w:name w:val="HTML Preformatted"/>
    <w:basedOn w:val="Normal"/>
    <w:link w:val="HTMLconformatoprevioCar"/>
    <w:uiPriority w:val="99"/>
    <w:semiHidden/>
    <w:unhideWhenUsed/>
    <w:rsid w:val="0096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966649"/>
    <w:rPr>
      <w:rFonts w:ascii="Courier New" w:eastAsia="Times New Roman" w:hAnsi="Courier New" w:cs="Courier New"/>
      <w:sz w:val="20"/>
      <w:szCs w:val="20"/>
      <w:lang w:eastAsia="es-EC"/>
    </w:rPr>
  </w:style>
  <w:style w:type="character" w:styleId="CdigoHTML">
    <w:name w:val="HTML Code"/>
    <w:basedOn w:val="Fuentedeprrafopredeter"/>
    <w:uiPriority w:val="99"/>
    <w:semiHidden/>
    <w:unhideWhenUsed/>
    <w:rsid w:val="00966649"/>
    <w:rPr>
      <w:rFonts w:ascii="Courier New" w:eastAsia="Times New Roman" w:hAnsi="Courier New" w:cs="Courier New"/>
      <w:sz w:val="20"/>
      <w:szCs w:val="20"/>
    </w:rPr>
  </w:style>
  <w:style w:type="character" w:customStyle="1" w:styleId="Ttulo2Car">
    <w:name w:val="Título 2 Car"/>
    <w:basedOn w:val="Fuentedeprrafopredeter"/>
    <w:link w:val="Ttulo2"/>
    <w:uiPriority w:val="9"/>
    <w:semiHidden/>
    <w:rsid w:val="003210A4"/>
    <w:rPr>
      <w:rFonts w:asciiTheme="majorHAnsi" w:eastAsiaTheme="majorEastAsia" w:hAnsiTheme="majorHAnsi" w:cstheme="majorBidi"/>
      <w:color w:val="2E74B5" w:themeColor="accent1" w:themeShade="BF"/>
      <w:sz w:val="26"/>
      <w:szCs w:val="26"/>
    </w:rPr>
  </w:style>
  <w:style w:type="paragraph" w:styleId="Sinespaciado">
    <w:name w:val="No Spacing"/>
    <w:uiPriority w:val="1"/>
    <w:qFormat/>
    <w:rsid w:val="00B7317C"/>
    <w:pPr>
      <w:spacing w:after="0" w:line="240" w:lineRule="auto"/>
    </w:pPr>
  </w:style>
  <w:style w:type="character" w:styleId="Hipervnculo">
    <w:name w:val="Hyperlink"/>
    <w:basedOn w:val="Fuentedeprrafopredeter"/>
    <w:uiPriority w:val="99"/>
    <w:unhideWhenUsed/>
    <w:rsid w:val="00B7317C"/>
    <w:rPr>
      <w:color w:val="0563C1" w:themeColor="hyperlink"/>
      <w:u w:val="single"/>
    </w:rPr>
  </w:style>
  <w:style w:type="paragraph" w:styleId="Encabezado">
    <w:name w:val="header"/>
    <w:basedOn w:val="Normal"/>
    <w:link w:val="EncabezadoCar"/>
    <w:uiPriority w:val="99"/>
    <w:unhideWhenUsed/>
    <w:rsid w:val="00E56C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56CBA"/>
  </w:style>
  <w:style w:type="paragraph" w:styleId="Piedepgina">
    <w:name w:val="footer"/>
    <w:basedOn w:val="Normal"/>
    <w:link w:val="PiedepginaCar"/>
    <w:uiPriority w:val="99"/>
    <w:unhideWhenUsed/>
    <w:rsid w:val="00E56CB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56CBA"/>
  </w:style>
  <w:style w:type="table" w:styleId="Tablaconcuadrcula">
    <w:name w:val="Table Grid"/>
    <w:basedOn w:val="Tablanormal"/>
    <w:uiPriority w:val="39"/>
    <w:rsid w:val="00E56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E2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4818">
      <w:bodyDiv w:val="1"/>
      <w:marLeft w:val="0"/>
      <w:marRight w:val="0"/>
      <w:marTop w:val="0"/>
      <w:marBottom w:val="0"/>
      <w:divBdr>
        <w:top w:val="none" w:sz="0" w:space="0" w:color="auto"/>
        <w:left w:val="none" w:sz="0" w:space="0" w:color="auto"/>
        <w:bottom w:val="none" w:sz="0" w:space="0" w:color="auto"/>
        <w:right w:val="none" w:sz="0" w:space="0" w:color="auto"/>
      </w:divBdr>
    </w:div>
    <w:div w:id="108547009">
      <w:bodyDiv w:val="1"/>
      <w:marLeft w:val="0"/>
      <w:marRight w:val="0"/>
      <w:marTop w:val="0"/>
      <w:marBottom w:val="0"/>
      <w:divBdr>
        <w:top w:val="none" w:sz="0" w:space="0" w:color="auto"/>
        <w:left w:val="none" w:sz="0" w:space="0" w:color="auto"/>
        <w:bottom w:val="none" w:sz="0" w:space="0" w:color="auto"/>
        <w:right w:val="none" w:sz="0" w:space="0" w:color="auto"/>
      </w:divBdr>
    </w:div>
    <w:div w:id="405882075">
      <w:bodyDiv w:val="1"/>
      <w:marLeft w:val="0"/>
      <w:marRight w:val="0"/>
      <w:marTop w:val="0"/>
      <w:marBottom w:val="0"/>
      <w:divBdr>
        <w:top w:val="none" w:sz="0" w:space="0" w:color="auto"/>
        <w:left w:val="none" w:sz="0" w:space="0" w:color="auto"/>
        <w:bottom w:val="none" w:sz="0" w:space="0" w:color="auto"/>
        <w:right w:val="none" w:sz="0" w:space="0" w:color="auto"/>
      </w:divBdr>
    </w:div>
    <w:div w:id="488180966">
      <w:bodyDiv w:val="1"/>
      <w:marLeft w:val="0"/>
      <w:marRight w:val="0"/>
      <w:marTop w:val="0"/>
      <w:marBottom w:val="0"/>
      <w:divBdr>
        <w:top w:val="none" w:sz="0" w:space="0" w:color="auto"/>
        <w:left w:val="none" w:sz="0" w:space="0" w:color="auto"/>
        <w:bottom w:val="none" w:sz="0" w:space="0" w:color="auto"/>
        <w:right w:val="none" w:sz="0" w:space="0" w:color="auto"/>
      </w:divBdr>
    </w:div>
    <w:div w:id="820729144">
      <w:bodyDiv w:val="1"/>
      <w:marLeft w:val="0"/>
      <w:marRight w:val="0"/>
      <w:marTop w:val="0"/>
      <w:marBottom w:val="0"/>
      <w:divBdr>
        <w:top w:val="none" w:sz="0" w:space="0" w:color="auto"/>
        <w:left w:val="none" w:sz="0" w:space="0" w:color="auto"/>
        <w:bottom w:val="none" w:sz="0" w:space="0" w:color="auto"/>
        <w:right w:val="none" w:sz="0" w:space="0" w:color="auto"/>
      </w:divBdr>
    </w:div>
    <w:div w:id="1200581932">
      <w:bodyDiv w:val="1"/>
      <w:marLeft w:val="0"/>
      <w:marRight w:val="0"/>
      <w:marTop w:val="0"/>
      <w:marBottom w:val="0"/>
      <w:divBdr>
        <w:top w:val="none" w:sz="0" w:space="0" w:color="auto"/>
        <w:left w:val="none" w:sz="0" w:space="0" w:color="auto"/>
        <w:bottom w:val="none" w:sz="0" w:space="0" w:color="auto"/>
        <w:right w:val="none" w:sz="0" w:space="0" w:color="auto"/>
      </w:divBdr>
    </w:div>
    <w:div w:id="1324700907">
      <w:bodyDiv w:val="1"/>
      <w:marLeft w:val="0"/>
      <w:marRight w:val="0"/>
      <w:marTop w:val="0"/>
      <w:marBottom w:val="0"/>
      <w:divBdr>
        <w:top w:val="none" w:sz="0" w:space="0" w:color="auto"/>
        <w:left w:val="none" w:sz="0" w:space="0" w:color="auto"/>
        <w:bottom w:val="none" w:sz="0" w:space="0" w:color="auto"/>
        <w:right w:val="none" w:sz="0" w:space="0" w:color="auto"/>
      </w:divBdr>
    </w:div>
    <w:div w:id="1776553877">
      <w:bodyDiv w:val="1"/>
      <w:marLeft w:val="0"/>
      <w:marRight w:val="0"/>
      <w:marTop w:val="0"/>
      <w:marBottom w:val="0"/>
      <w:divBdr>
        <w:top w:val="none" w:sz="0" w:space="0" w:color="auto"/>
        <w:left w:val="none" w:sz="0" w:space="0" w:color="auto"/>
        <w:bottom w:val="none" w:sz="0" w:space="0" w:color="auto"/>
        <w:right w:val="none" w:sz="0" w:space="0" w:color="auto"/>
      </w:divBdr>
    </w:div>
    <w:div w:id="181845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orcid.org/0000-0003-0959-236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yronfernandeze@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6077</Words>
  <Characters>33427</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xxxxxxxx</dc:creator>
  <cp:keywords/>
  <dc:description/>
  <cp:lastModifiedBy>ENV TECH</cp:lastModifiedBy>
  <cp:revision>2</cp:revision>
  <dcterms:created xsi:type="dcterms:W3CDTF">2026-04-15T19:31:00Z</dcterms:created>
  <dcterms:modified xsi:type="dcterms:W3CDTF">2026-05-15T16:52:00Z</dcterms:modified>
</cp:coreProperties>
</file>